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30F8" w14:textId="77777777" w:rsidR="004133E7" w:rsidRDefault="004133E7" w:rsidP="004133E7">
      <w:pPr>
        <w:keepNext/>
        <w:widowControl w:val="0"/>
        <w:jc w:val="center"/>
      </w:pPr>
      <w:r>
        <w:t>МИНОБРНАУКИ РОССИИ</w:t>
      </w:r>
    </w:p>
    <w:p w14:paraId="63FF80BE" w14:textId="77777777" w:rsidR="004133E7" w:rsidRDefault="004133E7" w:rsidP="004133E7">
      <w:pPr>
        <w:keepNext/>
        <w:widowControl w:val="0"/>
        <w:jc w:val="center"/>
      </w:pPr>
      <w:r>
        <w:t>АСТРАХАНСКИЙ ГОСУДАРСТВЕННЫЙ УНИВЕРСИТЕТ</w:t>
      </w:r>
    </w:p>
    <w:p w14:paraId="5BFAF388" w14:textId="77777777" w:rsidR="004133E7" w:rsidRDefault="004133E7" w:rsidP="004133E7">
      <w:pPr>
        <w:keepNext/>
        <w:widowControl w:val="0"/>
        <w:jc w:val="center"/>
      </w:pPr>
    </w:p>
    <w:p w14:paraId="455D8192" w14:textId="77777777" w:rsidR="004133E7" w:rsidRDefault="004133E7" w:rsidP="004133E7">
      <w:pPr>
        <w:keepNext/>
        <w:widowControl w:val="0"/>
        <w:jc w:val="center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F62" w:rsidRPr="000E6551" w14:paraId="14741E65" w14:textId="77777777" w:rsidTr="00FE6B08">
        <w:trPr>
          <w:trHeight w:val="1373"/>
        </w:trPr>
        <w:tc>
          <w:tcPr>
            <w:tcW w:w="4644" w:type="dxa"/>
          </w:tcPr>
          <w:p w14:paraId="28239E0B" w14:textId="77777777" w:rsidR="00961F62" w:rsidRPr="000E6551" w:rsidRDefault="00961F62" w:rsidP="00FE6B08">
            <w:pPr>
              <w:jc w:val="center"/>
            </w:pPr>
            <w:r w:rsidRPr="000E6551">
              <w:t>СОГЛАСОВАНО</w:t>
            </w:r>
          </w:p>
          <w:p w14:paraId="7972E708" w14:textId="77777777" w:rsidR="00961F62" w:rsidRPr="000E6551" w:rsidRDefault="00961F62" w:rsidP="00FE6B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BEC30F" wp14:editId="424E0365">
                  <wp:simplePos x="0" y="0"/>
                  <wp:positionH relativeFrom="column">
                    <wp:posOffset>478089</wp:posOffset>
                  </wp:positionH>
                  <wp:positionV relativeFrom="paragraph">
                    <wp:posOffset>174472</wp:posOffset>
                  </wp:positionV>
                  <wp:extent cx="977462" cy="6087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6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t>Руководитель ОПОП ВО</w:t>
            </w:r>
          </w:p>
          <w:p w14:paraId="48161258" w14:textId="77777777" w:rsidR="00961F62" w:rsidRPr="000E6551" w:rsidRDefault="00961F62" w:rsidP="00FE6B08"/>
          <w:p w14:paraId="11CA9E4D" w14:textId="77777777" w:rsidR="00961F62" w:rsidRPr="000E6551" w:rsidRDefault="00961F62" w:rsidP="00FE6B08">
            <w:pPr>
              <w:jc w:val="center"/>
            </w:pPr>
          </w:p>
          <w:p w14:paraId="2527ABC4" w14:textId="77777777" w:rsidR="00961F62" w:rsidRPr="000E6551" w:rsidRDefault="00961F62" w:rsidP="00FE6B08">
            <w:pPr>
              <w:jc w:val="center"/>
            </w:pPr>
            <w:r w:rsidRPr="000E6551">
              <w:t>__________________Е.И. Кондратенко</w:t>
            </w:r>
          </w:p>
          <w:p w14:paraId="7DF55617" w14:textId="77777777" w:rsidR="00961F62" w:rsidRPr="000E6551" w:rsidRDefault="00961F62" w:rsidP="00FE6B08">
            <w:pPr>
              <w:jc w:val="center"/>
            </w:pPr>
            <w:r w:rsidRPr="000E6551">
              <w:t xml:space="preserve"> «6» июня 2020   г.</w:t>
            </w:r>
          </w:p>
        </w:tc>
        <w:tc>
          <w:tcPr>
            <w:tcW w:w="426" w:type="dxa"/>
          </w:tcPr>
          <w:p w14:paraId="47F4B308" w14:textId="77777777" w:rsidR="00961F62" w:rsidRPr="000E6551" w:rsidRDefault="00961F62" w:rsidP="00FE6B08">
            <w:pPr>
              <w:jc w:val="center"/>
            </w:pPr>
          </w:p>
          <w:p w14:paraId="11850B5B" w14:textId="77777777" w:rsidR="00961F62" w:rsidRPr="000E6551" w:rsidRDefault="00961F62" w:rsidP="00FE6B08">
            <w:pPr>
              <w:jc w:val="center"/>
            </w:pPr>
          </w:p>
          <w:p w14:paraId="3811668B" w14:textId="77777777" w:rsidR="00961F62" w:rsidRPr="000E6551" w:rsidRDefault="00961F62" w:rsidP="00FE6B08">
            <w:pPr>
              <w:jc w:val="center"/>
            </w:pPr>
          </w:p>
          <w:p w14:paraId="0E97BD16" w14:textId="77777777" w:rsidR="00961F62" w:rsidRPr="000E6551" w:rsidRDefault="00961F62" w:rsidP="00FE6B08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14:paraId="6E3DBF9E" w14:textId="77777777" w:rsidR="00961F62" w:rsidRPr="000E6551" w:rsidRDefault="00961F62" w:rsidP="00FE6B08">
            <w:pPr>
              <w:jc w:val="center"/>
            </w:pPr>
            <w:r w:rsidRPr="000E6551">
              <w:t>УТВЕРЖДАЮ</w:t>
            </w:r>
          </w:p>
          <w:p w14:paraId="51ED0D4E" w14:textId="77777777" w:rsidR="00961F62" w:rsidRPr="000E6551" w:rsidRDefault="00961F62" w:rsidP="00FE6B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E51794" wp14:editId="00C65319">
                  <wp:simplePos x="0" y="0"/>
                  <wp:positionH relativeFrom="column">
                    <wp:posOffset>411743</wp:posOffset>
                  </wp:positionH>
                  <wp:positionV relativeFrom="paragraph">
                    <wp:posOffset>284830</wp:posOffset>
                  </wp:positionV>
                  <wp:extent cx="1166495" cy="4730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t>Заведующий кафедрой физиологии, морфологии, генетики и биомедицины</w:t>
            </w:r>
          </w:p>
          <w:p w14:paraId="0E243B63" w14:textId="77777777" w:rsidR="00961F62" w:rsidRPr="000E6551" w:rsidRDefault="00961F62" w:rsidP="00FE6B08">
            <w:pPr>
              <w:jc w:val="center"/>
            </w:pPr>
          </w:p>
          <w:p w14:paraId="1F06F479" w14:textId="77777777" w:rsidR="00961F62" w:rsidRPr="000E6551" w:rsidRDefault="00961F62" w:rsidP="00FE6B08">
            <w:pPr>
              <w:jc w:val="center"/>
            </w:pPr>
            <w:r w:rsidRPr="000E6551">
              <w:t>__________________ Д.Л. Теплый</w:t>
            </w:r>
          </w:p>
          <w:p w14:paraId="68DD7F93" w14:textId="77777777" w:rsidR="00961F62" w:rsidRPr="000E6551" w:rsidRDefault="00961F62" w:rsidP="00FE6B08">
            <w:pPr>
              <w:jc w:val="center"/>
            </w:pPr>
            <w:r w:rsidRPr="000E6551">
              <w:t>«13» июня 2020 г.</w:t>
            </w:r>
          </w:p>
        </w:tc>
      </w:tr>
    </w:tbl>
    <w:p w14:paraId="2F409DB9" w14:textId="536EA0C0" w:rsidR="004133E7" w:rsidRDefault="004133E7" w:rsidP="004133E7">
      <w:pPr>
        <w:keepNext/>
        <w:widowControl w:val="0"/>
        <w:jc w:val="both"/>
      </w:pPr>
    </w:p>
    <w:p w14:paraId="5619C835" w14:textId="3622721F" w:rsidR="00961F62" w:rsidRDefault="00961F62" w:rsidP="004133E7">
      <w:pPr>
        <w:keepNext/>
        <w:widowControl w:val="0"/>
        <w:jc w:val="both"/>
      </w:pPr>
    </w:p>
    <w:p w14:paraId="6280D312" w14:textId="032E4225" w:rsidR="00961F62" w:rsidRDefault="00961F62" w:rsidP="004133E7">
      <w:pPr>
        <w:keepNext/>
        <w:widowControl w:val="0"/>
        <w:jc w:val="both"/>
      </w:pPr>
    </w:p>
    <w:p w14:paraId="20AC286F" w14:textId="0797FD80" w:rsidR="00961F62" w:rsidRDefault="00961F62" w:rsidP="004133E7">
      <w:pPr>
        <w:keepNext/>
        <w:widowControl w:val="0"/>
        <w:jc w:val="both"/>
      </w:pPr>
    </w:p>
    <w:p w14:paraId="6CE4D371" w14:textId="21907BE1" w:rsidR="00961F62" w:rsidRDefault="00961F62" w:rsidP="004133E7">
      <w:pPr>
        <w:keepNext/>
        <w:widowControl w:val="0"/>
        <w:jc w:val="both"/>
      </w:pPr>
    </w:p>
    <w:p w14:paraId="3EED3AE2" w14:textId="77777777" w:rsidR="00961F62" w:rsidRDefault="00961F62" w:rsidP="004133E7">
      <w:pPr>
        <w:keepNext/>
        <w:widowControl w:val="0"/>
        <w:jc w:val="both"/>
      </w:pPr>
    </w:p>
    <w:p w14:paraId="59A51792" w14:textId="77777777" w:rsidR="004133E7" w:rsidRDefault="004133E7" w:rsidP="004133E7">
      <w:pPr>
        <w:keepNext/>
        <w:widowControl w:val="0"/>
        <w:jc w:val="both"/>
      </w:pPr>
    </w:p>
    <w:p w14:paraId="2D861E1F" w14:textId="77777777" w:rsidR="004133E7" w:rsidRDefault="004133E7" w:rsidP="004133E7">
      <w:pPr>
        <w:keepNext/>
        <w:widowControl w:val="0"/>
        <w:jc w:val="both"/>
      </w:pPr>
    </w:p>
    <w:p w14:paraId="0D3E5C30" w14:textId="77777777"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14:paraId="2C635782" w14:textId="77777777" w:rsidR="004133E7" w:rsidRDefault="004133E7" w:rsidP="004133E7">
      <w:pPr>
        <w:keepNext/>
        <w:widowControl w:val="0"/>
        <w:jc w:val="center"/>
        <w:rPr>
          <w:i/>
        </w:rPr>
      </w:pPr>
    </w:p>
    <w:p w14:paraId="7A20E74C" w14:textId="77777777" w:rsidR="004133E7" w:rsidRDefault="004133E7" w:rsidP="004133E7">
      <w:pPr>
        <w:keepNext/>
        <w:widowControl w:val="0"/>
        <w:jc w:val="center"/>
        <w:rPr>
          <w:b/>
          <w:bCs/>
        </w:rPr>
      </w:pPr>
    </w:p>
    <w:p w14:paraId="5B563CFA" w14:textId="77777777" w:rsidR="004133E7" w:rsidRDefault="004133E7" w:rsidP="004133E7">
      <w:pPr>
        <w:keepNext/>
        <w:widowControl w:val="0"/>
        <w:jc w:val="center"/>
        <w:rPr>
          <w:b/>
          <w:bCs/>
        </w:rPr>
      </w:pP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5752"/>
      </w:tblGrid>
      <w:tr w:rsidR="004133E7" w14:paraId="07446CE5" w14:textId="77777777" w:rsidTr="004133E7">
        <w:trPr>
          <w:trHeight w:val="353"/>
          <w:jc w:val="center"/>
        </w:trPr>
        <w:tc>
          <w:tcPr>
            <w:tcW w:w="4077" w:type="dxa"/>
            <w:hideMark/>
          </w:tcPr>
          <w:p w14:paraId="166E3217" w14:textId="77777777" w:rsidR="004133E7" w:rsidRDefault="004133E7">
            <w:pPr>
              <w:keepNext/>
              <w:widowControl w:val="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14:paraId="1C846C15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Кондратенко Е.И., профессор, д.б.н., </w:t>
            </w:r>
            <w:proofErr w:type="gramStart"/>
            <w:r>
              <w:rPr>
                <w:b/>
                <w:bCs/>
              </w:rPr>
              <w:t>профессор;  Ломтева</w:t>
            </w:r>
            <w:proofErr w:type="gramEnd"/>
            <w:r>
              <w:rPr>
                <w:b/>
                <w:bCs/>
              </w:rPr>
              <w:t xml:space="preserve"> Н.А., доцент, д.б.н., профессор; </w:t>
            </w:r>
          </w:p>
          <w:p w14:paraId="1F331F4C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  <w:tr w:rsidR="004133E7" w14:paraId="64D8D0EC" w14:textId="77777777" w:rsidTr="004133E7">
        <w:trPr>
          <w:trHeight w:val="353"/>
          <w:jc w:val="center"/>
        </w:trPr>
        <w:tc>
          <w:tcPr>
            <w:tcW w:w="4077" w:type="dxa"/>
            <w:hideMark/>
          </w:tcPr>
          <w:p w14:paraId="67124F34" w14:textId="77777777"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 xml:space="preserve">Направление подготовки  </w:t>
            </w:r>
          </w:p>
        </w:tc>
        <w:tc>
          <w:tcPr>
            <w:tcW w:w="5754" w:type="dxa"/>
            <w:hideMark/>
          </w:tcPr>
          <w:p w14:paraId="447558B4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4133E7" w14:paraId="6D781B3C" w14:textId="77777777" w:rsidTr="004133E7">
        <w:trPr>
          <w:trHeight w:val="353"/>
          <w:jc w:val="center"/>
        </w:trPr>
        <w:tc>
          <w:tcPr>
            <w:tcW w:w="4077" w:type="dxa"/>
            <w:hideMark/>
          </w:tcPr>
          <w:p w14:paraId="6CD3DE46" w14:textId="77777777"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17031CE4" w14:textId="77777777" w:rsidR="004133E7" w:rsidRDefault="004133E7">
            <w:pPr>
              <w:keepNext/>
              <w:widowControl w:val="0"/>
              <w:jc w:val="right"/>
              <w:rPr>
                <w:b/>
              </w:rPr>
            </w:pPr>
            <w:r>
              <w:rPr>
                <w:b/>
                <w:bCs/>
              </w:rPr>
              <w:t>Биохимия</w:t>
            </w:r>
          </w:p>
        </w:tc>
      </w:tr>
      <w:tr w:rsidR="004133E7" w14:paraId="513B2CF3" w14:textId="77777777" w:rsidTr="004133E7">
        <w:trPr>
          <w:trHeight w:val="353"/>
          <w:jc w:val="center"/>
        </w:trPr>
        <w:tc>
          <w:tcPr>
            <w:tcW w:w="4077" w:type="dxa"/>
            <w:hideMark/>
          </w:tcPr>
          <w:p w14:paraId="33B9C6C8" w14:textId="77777777"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>Квалификация (степень)</w:t>
            </w:r>
          </w:p>
        </w:tc>
        <w:tc>
          <w:tcPr>
            <w:tcW w:w="5754" w:type="dxa"/>
            <w:hideMark/>
          </w:tcPr>
          <w:p w14:paraId="790BB567" w14:textId="77777777" w:rsidR="004133E7" w:rsidRDefault="004133E7">
            <w:pPr>
              <w:keepNext/>
              <w:widowControl w:val="0"/>
              <w:jc w:val="right"/>
              <w:rPr>
                <w:b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</w:p>
        </w:tc>
      </w:tr>
      <w:tr w:rsidR="004133E7" w14:paraId="4F6660D5" w14:textId="77777777" w:rsidTr="004133E7">
        <w:trPr>
          <w:trHeight w:val="353"/>
          <w:jc w:val="center"/>
        </w:trPr>
        <w:tc>
          <w:tcPr>
            <w:tcW w:w="4077" w:type="dxa"/>
            <w:hideMark/>
          </w:tcPr>
          <w:p w14:paraId="66383BEB" w14:textId="77777777" w:rsidR="004133E7" w:rsidRDefault="004133E7">
            <w:pPr>
              <w:keepNext/>
              <w:widowControl w:val="0"/>
            </w:pPr>
            <w:r>
              <w:t>Форма обучения</w:t>
            </w:r>
          </w:p>
        </w:tc>
        <w:tc>
          <w:tcPr>
            <w:tcW w:w="5754" w:type="dxa"/>
          </w:tcPr>
          <w:p w14:paraId="165F97D1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  <w:p w14:paraId="6C4FE08D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  <w:tr w:rsidR="004133E7" w14:paraId="2675A287" w14:textId="77777777" w:rsidTr="004133E7">
        <w:trPr>
          <w:trHeight w:val="353"/>
          <w:jc w:val="center"/>
        </w:trPr>
        <w:tc>
          <w:tcPr>
            <w:tcW w:w="4077" w:type="dxa"/>
            <w:hideMark/>
          </w:tcPr>
          <w:p w14:paraId="259D9C87" w14:textId="77777777" w:rsidR="004133E7" w:rsidRDefault="004133E7">
            <w:pPr>
              <w:keepNext/>
              <w:widowControl w:val="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14:paraId="2A8AB605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4133E7" w14:paraId="2B5CB8B4" w14:textId="77777777" w:rsidTr="004133E7">
        <w:trPr>
          <w:trHeight w:val="353"/>
          <w:jc w:val="center"/>
        </w:trPr>
        <w:tc>
          <w:tcPr>
            <w:tcW w:w="4077" w:type="dxa"/>
          </w:tcPr>
          <w:p w14:paraId="09E8DE2D" w14:textId="77777777" w:rsidR="004133E7" w:rsidRDefault="004133E7">
            <w:pPr>
              <w:keepNext/>
              <w:widowControl w:val="0"/>
            </w:pPr>
          </w:p>
        </w:tc>
        <w:tc>
          <w:tcPr>
            <w:tcW w:w="5754" w:type="dxa"/>
          </w:tcPr>
          <w:p w14:paraId="45A0229D" w14:textId="77777777"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</w:tbl>
    <w:p w14:paraId="1F2698CD" w14:textId="77777777" w:rsidR="004133E7" w:rsidRDefault="004133E7" w:rsidP="004133E7">
      <w:pPr>
        <w:keepNext/>
        <w:widowControl w:val="0"/>
        <w:jc w:val="both"/>
      </w:pPr>
    </w:p>
    <w:p w14:paraId="26C0A7EC" w14:textId="77777777" w:rsidR="004133E7" w:rsidRDefault="004133E7" w:rsidP="004133E7">
      <w:pPr>
        <w:keepNext/>
        <w:widowControl w:val="0"/>
        <w:jc w:val="both"/>
      </w:pPr>
    </w:p>
    <w:p w14:paraId="47F6CC18" w14:textId="77777777" w:rsidR="004133E7" w:rsidRDefault="004133E7" w:rsidP="004133E7">
      <w:pPr>
        <w:keepNext/>
        <w:widowControl w:val="0"/>
        <w:jc w:val="center"/>
      </w:pPr>
    </w:p>
    <w:p w14:paraId="620099DF" w14:textId="77777777" w:rsidR="004133E7" w:rsidRDefault="004133E7" w:rsidP="004133E7">
      <w:pPr>
        <w:keepNext/>
        <w:widowControl w:val="0"/>
        <w:jc w:val="center"/>
      </w:pPr>
    </w:p>
    <w:p w14:paraId="4C1BE218" w14:textId="77777777" w:rsidR="004133E7" w:rsidRDefault="004133E7" w:rsidP="004133E7">
      <w:pPr>
        <w:keepNext/>
        <w:widowControl w:val="0"/>
        <w:jc w:val="center"/>
      </w:pPr>
    </w:p>
    <w:p w14:paraId="64BD83A4" w14:textId="77777777" w:rsidR="004133E7" w:rsidRDefault="004133E7" w:rsidP="004133E7">
      <w:pPr>
        <w:keepNext/>
        <w:widowControl w:val="0"/>
        <w:jc w:val="center"/>
      </w:pPr>
    </w:p>
    <w:p w14:paraId="55700B03" w14:textId="77777777" w:rsidR="004133E7" w:rsidRDefault="004133E7" w:rsidP="004133E7">
      <w:pPr>
        <w:keepNext/>
        <w:widowControl w:val="0"/>
        <w:jc w:val="center"/>
      </w:pPr>
    </w:p>
    <w:p w14:paraId="4663432A" w14:textId="77777777" w:rsidR="004133E7" w:rsidRDefault="004133E7" w:rsidP="004133E7">
      <w:pPr>
        <w:keepNext/>
        <w:widowControl w:val="0"/>
        <w:jc w:val="center"/>
      </w:pPr>
    </w:p>
    <w:p w14:paraId="69146A43" w14:textId="77777777" w:rsidR="004133E7" w:rsidRDefault="004133E7" w:rsidP="004133E7">
      <w:pPr>
        <w:keepNext/>
        <w:widowControl w:val="0"/>
        <w:jc w:val="center"/>
      </w:pPr>
    </w:p>
    <w:p w14:paraId="4F3D7B88" w14:textId="77777777" w:rsidR="004133E7" w:rsidRDefault="004133E7" w:rsidP="004133E7">
      <w:pPr>
        <w:keepNext/>
        <w:widowControl w:val="0"/>
        <w:jc w:val="center"/>
      </w:pPr>
    </w:p>
    <w:p w14:paraId="04B8FF87" w14:textId="77777777" w:rsidR="004133E7" w:rsidRDefault="004133E7" w:rsidP="004133E7">
      <w:pPr>
        <w:keepNext/>
        <w:widowControl w:val="0"/>
        <w:jc w:val="center"/>
      </w:pPr>
    </w:p>
    <w:p w14:paraId="482F9FD4" w14:textId="77777777" w:rsidR="004133E7" w:rsidRDefault="004133E7" w:rsidP="004133E7">
      <w:pPr>
        <w:keepNext/>
        <w:widowControl w:val="0"/>
        <w:jc w:val="center"/>
      </w:pPr>
    </w:p>
    <w:p w14:paraId="66137449" w14:textId="77777777" w:rsidR="004133E7" w:rsidRDefault="004133E7" w:rsidP="004133E7">
      <w:pPr>
        <w:keepNext/>
        <w:widowControl w:val="0"/>
        <w:jc w:val="center"/>
      </w:pPr>
    </w:p>
    <w:p w14:paraId="1361006B" w14:textId="77777777" w:rsidR="004133E7" w:rsidRDefault="004133E7" w:rsidP="004133E7">
      <w:pPr>
        <w:keepNext/>
        <w:widowControl w:val="0"/>
        <w:jc w:val="center"/>
      </w:pPr>
    </w:p>
    <w:p w14:paraId="0B59D1EE" w14:textId="0602D7C5" w:rsidR="004133E7" w:rsidRPr="00961F62" w:rsidRDefault="004133E7" w:rsidP="004133E7">
      <w:pPr>
        <w:keepNext/>
        <w:widowControl w:val="0"/>
        <w:jc w:val="center"/>
        <w:rPr>
          <w:lang w:val="en-US"/>
        </w:rPr>
      </w:pPr>
      <w:r>
        <w:t>Астрахань – 20</w:t>
      </w:r>
      <w:r w:rsidR="00961F62">
        <w:rPr>
          <w:lang w:val="en-US"/>
        </w:rPr>
        <w:t>20</w:t>
      </w:r>
    </w:p>
    <w:p w14:paraId="0FD74EC3" w14:textId="77777777" w:rsidR="004133E7" w:rsidRDefault="004133E7" w:rsidP="004133E7">
      <w:pPr>
        <w:keepNext/>
        <w:widowControl w:val="0"/>
        <w:numPr>
          <w:ilvl w:val="0"/>
          <w:numId w:val="1"/>
        </w:num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ЦЕЛИ И ЗАДАЧИ ГОСУДАРСТВЕННОЙ ИТОГОВОЙ АТТЕСТАЦИИ</w:t>
      </w:r>
    </w:p>
    <w:p w14:paraId="51F54443" w14:textId="77777777" w:rsidR="004133E7" w:rsidRDefault="004133E7" w:rsidP="004133E7">
      <w:pPr>
        <w:keepNext/>
        <w:widowControl w:val="0"/>
        <w:ind w:left="720"/>
        <w:rPr>
          <w:b/>
          <w:bCs/>
        </w:rPr>
      </w:pPr>
    </w:p>
    <w:p w14:paraId="4948ABBC" w14:textId="77777777" w:rsidR="004133E7" w:rsidRDefault="004133E7" w:rsidP="004133E7">
      <w:pPr>
        <w:keepNext/>
        <w:widowControl w:val="0"/>
        <w:jc w:val="both"/>
        <w:rPr>
          <w:sz w:val="28"/>
          <w:szCs w:val="28"/>
          <w:u w:val="single"/>
          <w:lang w:eastAsia="ar-SA"/>
        </w:rPr>
      </w:pPr>
      <w:r>
        <w:rPr>
          <w:b/>
        </w:rPr>
        <w:t>1.1.</w:t>
      </w:r>
      <w:r>
        <w:t xml:space="preserve"> </w:t>
      </w:r>
      <w:r>
        <w:rPr>
          <w:b/>
        </w:rPr>
        <w:t>Цель государственной итоговой аттестации</w:t>
      </w:r>
      <w: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>
        <w:rPr>
          <w:b/>
        </w:rPr>
        <w:t>06.06.01 Биологические науки (</w:t>
      </w:r>
      <w:r>
        <w:rPr>
          <w:b/>
          <w:lang w:eastAsia="ar-SA"/>
        </w:rPr>
        <w:t>Биохимия).</w:t>
      </w:r>
    </w:p>
    <w:p w14:paraId="03F12CA2" w14:textId="77777777"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</w:pPr>
    </w:p>
    <w:p w14:paraId="5649F474" w14:textId="77777777"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1.2. Задачи государственной итоговой аттестации:</w:t>
      </w:r>
    </w:p>
    <w:p w14:paraId="6E33E96B" w14:textId="77777777"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left="851" w:hanging="425"/>
        <w:jc w:val="both"/>
      </w:pPr>
      <w:r>
        <w:t xml:space="preserve">проверка уровня сформированности компетенций, определенных образовательным стандартом и ОПОП; </w:t>
      </w:r>
    </w:p>
    <w:p w14:paraId="588EA18F" w14:textId="77777777"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left="851" w:hanging="425"/>
        <w:jc w:val="both"/>
      </w:pPr>
      <w: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14:paraId="72D8D62B" w14:textId="77777777"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hanging="294"/>
        <w:jc w:val="both"/>
      </w:pPr>
      <w:r>
        <w:t>разработка рекомендаций, направленных на совершенствование подготовки аспирантов по ОПОП.</w:t>
      </w:r>
    </w:p>
    <w:p w14:paraId="039D2D0E" w14:textId="77777777"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rFonts w:eastAsia="Arial"/>
          <w:lang w:eastAsia="ar-SA"/>
        </w:rPr>
      </w:pPr>
      <w:r>
        <w:t xml:space="preserve">В рамках проведения ГИА проверяется степень освоения выпускником следующих компетенций: </w:t>
      </w:r>
    </w:p>
    <w:p w14:paraId="3FD62842" w14:textId="77777777" w:rsidR="004133E7" w:rsidRDefault="004133E7" w:rsidP="004133E7">
      <w:pPr>
        <w:keepNext/>
        <w:widowControl w:val="0"/>
        <w:tabs>
          <w:tab w:val="left" w:pos="993"/>
        </w:tabs>
        <w:suppressAutoHyphens/>
        <w:ind w:left="720"/>
        <w:jc w:val="both"/>
        <w:rPr>
          <w:rFonts w:eastAsia="Arial"/>
          <w:b/>
          <w:i/>
          <w:lang w:eastAsia="ar-SA"/>
        </w:rPr>
      </w:pPr>
      <w:r>
        <w:rPr>
          <w:rFonts w:eastAsia="Arial"/>
          <w:b/>
          <w:i/>
          <w:lang w:eastAsia="ar-SA"/>
        </w:rPr>
        <w:t>Универсальные компетенции</w:t>
      </w:r>
    </w:p>
    <w:p w14:paraId="15D35255" w14:textId="77777777"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670A3F00" w14:textId="77777777" w:rsidR="004133E7" w:rsidRDefault="004133E7" w:rsidP="005371F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проектировать и осуществлять комплексные исследования, в том числе</w:t>
      </w:r>
      <w:r w:rsidR="002C3BE6">
        <w:rPr>
          <w:lang w:eastAsia="ar-SA"/>
        </w:rPr>
        <w:t xml:space="preserve"> </w:t>
      </w:r>
      <w:r>
        <w:rPr>
          <w:lang w:eastAsia="ar-SA"/>
        </w:rPr>
        <w:t>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F1FBEB7" w14:textId="77777777"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FE4328B" w14:textId="77777777" w:rsidR="004133E7" w:rsidRDefault="004133E7" w:rsidP="00CB64B2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Готовностью использовать современные методы и технологии научной коммуникации на</w:t>
      </w:r>
      <w:r w:rsidR="002C3BE6">
        <w:rPr>
          <w:lang w:eastAsia="ar-SA"/>
        </w:rPr>
        <w:t xml:space="preserve"> </w:t>
      </w:r>
      <w:r>
        <w:rPr>
          <w:lang w:eastAsia="ar-SA"/>
        </w:rPr>
        <w:t>государственном и иностранном языках (УК-4);</w:t>
      </w:r>
    </w:p>
    <w:p w14:paraId="0073E3F4" w14:textId="77777777"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планировать и решать задачи собственного профессионального и личностного развития (УК-5).</w:t>
      </w:r>
    </w:p>
    <w:p w14:paraId="78FCB8DE" w14:textId="77777777" w:rsidR="004133E7" w:rsidRPr="002C3BE6" w:rsidRDefault="004133E7" w:rsidP="002C3BE6">
      <w:pPr>
        <w:keepNext/>
        <w:widowControl w:val="0"/>
        <w:suppressAutoHyphens/>
        <w:autoSpaceDE w:val="0"/>
        <w:ind w:left="360"/>
        <w:rPr>
          <w:b/>
          <w:i/>
          <w:lang w:eastAsia="ar-SA"/>
        </w:rPr>
      </w:pPr>
      <w:r w:rsidRPr="002C3BE6">
        <w:rPr>
          <w:b/>
          <w:i/>
          <w:lang w:eastAsia="ar-SA"/>
        </w:rPr>
        <w:t>Общепрофессиональные компетенции</w:t>
      </w:r>
    </w:p>
    <w:p w14:paraId="124D0374" w14:textId="77777777"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rPr>
          <w:lang w:eastAsia="ar-SA"/>
        </w:rPr>
      </w:pPr>
      <w:r>
        <w:rPr>
          <w:lang w:eastAsia="ar-SA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F8A4040" w14:textId="77777777" w:rsidR="004133E7" w:rsidRPr="002C3BE6" w:rsidRDefault="004133E7" w:rsidP="002C3BE6">
      <w:pPr>
        <w:pStyle w:val="a5"/>
        <w:keepNext/>
        <w:widowControl w:val="0"/>
        <w:numPr>
          <w:ilvl w:val="0"/>
          <w:numId w:val="2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C3BE6">
        <w:rPr>
          <w:rFonts w:ascii="Times New Roman" w:hAnsi="Times New Roman"/>
          <w:sz w:val="24"/>
          <w:szCs w:val="24"/>
          <w:lang w:eastAsia="ar-SA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14:paraId="65CF992F" w14:textId="77777777" w:rsidR="004133E7" w:rsidRPr="002C3BE6" w:rsidRDefault="004133E7" w:rsidP="002C3BE6">
      <w:pPr>
        <w:keepNext/>
        <w:widowControl w:val="0"/>
        <w:tabs>
          <w:tab w:val="left" w:pos="993"/>
        </w:tabs>
        <w:suppressAutoHyphens/>
        <w:ind w:left="360"/>
        <w:jc w:val="both"/>
        <w:rPr>
          <w:rFonts w:eastAsia="Arial"/>
          <w:b/>
          <w:bCs/>
          <w:i/>
          <w:iCs/>
          <w:lang w:eastAsia="ar-SA"/>
        </w:rPr>
      </w:pPr>
      <w:r w:rsidRPr="002C3BE6">
        <w:rPr>
          <w:rFonts w:eastAsia="Arial"/>
          <w:b/>
          <w:bCs/>
          <w:i/>
          <w:iCs/>
          <w:lang w:eastAsia="ar-SA"/>
        </w:rPr>
        <w:t>Профессиональные компетенции</w:t>
      </w:r>
    </w:p>
    <w:p w14:paraId="68349A48" w14:textId="77777777"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(ПК-1);</w:t>
      </w:r>
    </w:p>
    <w:p w14:paraId="450F9FD0" w14:textId="77777777"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 (ПК-2);</w:t>
      </w:r>
    </w:p>
    <w:p w14:paraId="0372B85F" w14:textId="77777777"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 (ПК-3);</w:t>
      </w:r>
    </w:p>
    <w:p w14:paraId="6317C4C4" w14:textId="77777777" w:rsidR="004133E7" w:rsidRDefault="004133E7" w:rsidP="004133E7">
      <w:pPr>
        <w:keepNext/>
        <w:widowControl w:val="0"/>
        <w:numPr>
          <w:ilvl w:val="0"/>
          <w:numId w:val="1"/>
        </w:num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14:paraId="21E46C25" w14:textId="77777777" w:rsidR="004133E7" w:rsidRDefault="004133E7" w:rsidP="004133E7">
      <w:pPr>
        <w:keepNext/>
        <w:widowControl w:val="0"/>
        <w:ind w:left="720"/>
        <w:outlineLvl w:val="0"/>
        <w:rPr>
          <w:b/>
          <w:bCs/>
        </w:rPr>
      </w:pPr>
    </w:p>
    <w:p w14:paraId="53159238" w14:textId="77777777" w:rsidR="004133E7" w:rsidRDefault="002C3BE6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4133E7">
        <w:rPr>
          <w:b/>
        </w:rPr>
        <w:t>Формы проведения государственной итоговой аттестации:</w:t>
      </w:r>
    </w:p>
    <w:p w14:paraId="7D9752D2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</w:rPr>
      </w:pPr>
    </w:p>
    <w:p w14:paraId="31513262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 xml:space="preserve">  -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Федерации;</w:t>
      </w:r>
    </w:p>
    <w:p w14:paraId="1306A941" w14:textId="77777777" w:rsidR="004133E7" w:rsidRDefault="004133E7" w:rsidP="004133E7">
      <w:pPr>
        <w:keepNext/>
        <w:widowControl w:val="0"/>
        <w:adjustRightInd w:val="0"/>
        <w:ind w:left="567" w:firstLine="142"/>
        <w:jc w:val="both"/>
      </w:pPr>
      <w:r>
        <w:t xml:space="preserve"> - подготовка к сдаче и сдача государственного экзамена </w:t>
      </w:r>
    </w:p>
    <w:p w14:paraId="0197D951" w14:textId="77777777" w:rsidR="004133E7" w:rsidRDefault="004133E7" w:rsidP="004133E7">
      <w:pPr>
        <w:keepNext/>
        <w:widowControl w:val="0"/>
        <w:tabs>
          <w:tab w:val="left" w:pos="1134"/>
        </w:tabs>
        <w:ind w:firstLine="567"/>
        <w:outlineLvl w:val="0"/>
        <w:rPr>
          <w:b/>
          <w:bCs/>
        </w:rPr>
      </w:pPr>
    </w:p>
    <w:p w14:paraId="39789C78" w14:textId="77777777" w:rsidR="004133E7" w:rsidRDefault="004133E7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Объем и сроки проведения государственной итоговой аттестации</w:t>
      </w:r>
    </w:p>
    <w:p w14:paraId="6317693B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left="1500"/>
        <w:jc w:val="both"/>
        <w:rPr>
          <w:b/>
        </w:rPr>
      </w:pPr>
    </w:p>
    <w:p w14:paraId="142CE63C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Объем ГИА – 9 зачетных единиц, в том числе:</w:t>
      </w:r>
    </w:p>
    <w:p w14:paraId="1989518F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 (далее – научный доклад); </w:t>
      </w:r>
    </w:p>
    <w:p w14:paraId="440A928C" w14:textId="77777777" w:rsidR="004133E7" w:rsidRDefault="004133E7" w:rsidP="004133E7">
      <w:pPr>
        <w:keepNext/>
        <w:widowControl w:val="0"/>
        <w:adjustRightInd w:val="0"/>
        <w:ind w:left="567" w:firstLine="142"/>
      </w:pPr>
      <w:r>
        <w:t>- 3 зачетных единиц – для подготовки к сдаче и сдачи государственного экзамена (далее – государственный экзамен).</w:t>
      </w:r>
    </w:p>
    <w:p w14:paraId="64A4D628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22B89972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Сроки проведения ГИА: с 39 по 44 недели 4 курса (итого 6 недель) для очной формы обучения. </w:t>
      </w:r>
    </w:p>
    <w:p w14:paraId="1EE366E2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14EEB5FC" w14:textId="77777777" w:rsidR="004133E7" w:rsidRDefault="004133E7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Допуск к государственной итоговой аттестации</w:t>
      </w:r>
    </w:p>
    <w:p w14:paraId="24C83BC5" w14:textId="77777777" w:rsidR="004133E7" w:rsidRDefault="004133E7" w:rsidP="004133E7">
      <w:pPr>
        <w:keepNext/>
        <w:widowControl w:val="0"/>
        <w:ind w:left="720"/>
        <w:outlineLvl w:val="0"/>
        <w:rPr>
          <w:b/>
          <w:bCs/>
        </w:rPr>
      </w:pPr>
    </w:p>
    <w:p w14:paraId="30A9C963" w14:textId="77777777" w:rsidR="004133E7" w:rsidRDefault="004133E7" w:rsidP="004133E7">
      <w:pPr>
        <w:keepNext/>
        <w:widowControl w:val="0"/>
        <w:shd w:val="clear" w:color="auto" w:fill="FFFFFF"/>
        <w:ind w:firstLine="709"/>
        <w:jc w:val="both"/>
      </w:pPr>
      <w: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7C9FA61D" w14:textId="77777777" w:rsidR="004133E7" w:rsidRDefault="004133E7" w:rsidP="004133E7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14:paraId="13B4ADDC" w14:textId="77777777" w:rsidR="002C3BE6" w:rsidRDefault="002C3BE6" w:rsidP="004133E7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14:paraId="157E8633" w14:textId="77777777" w:rsidR="004133E7" w:rsidRDefault="004133E7" w:rsidP="004133E7">
      <w:pPr>
        <w:keepNext/>
        <w:widowControl w:val="0"/>
        <w:numPr>
          <w:ilvl w:val="0"/>
          <w:numId w:val="6"/>
        </w:numPr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ФОНД ОЦЕНОЧНЫХ СРЕДСТВ </w:t>
      </w:r>
    </w:p>
    <w:p w14:paraId="31EF0BA0" w14:textId="77777777" w:rsidR="004133E7" w:rsidRDefault="004133E7" w:rsidP="004133E7">
      <w:pPr>
        <w:keepNext/>
        <w:widowControl w:val="0"/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>ДЛЯ ГОСУДАРСТВЕННОЙ ИТОГОВОЙ АТТЕСТАЦИИ</w:t>
      </w:r>
    </w:p>
    <w:p w14:paraId="3A9DBC56" w14:textId="77777777" w:rsidR="004133E7" w:rsidRDefault="004133E7" w:rsidP="004133E7">
      <w:pPr>
        <w:keepNext/>
        <w:widowControl w:val="0"/>
        <w:tabs>
          <w:tab w:val="left" w:pos="284"/>
        </w:tabs>
        <w:jc w:val="center"/>
        <w:outlineLvl w:val="0"/>
        <w:rPr>
          <w:b/>
          <w:bCs/>
        </w:rPr>
      </w:pPr>
    </w:p>
    <w:p w14:paraId="504F0675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 </w:t>
      </w:r>
      <w:r>
        <w:rPr>
          <w:b/>
          <w:bCs/>
        </w:rPr>
        <w:t xml:space="preserve">Фонд оценочных средств </w:t>
      </w:r>
      <w:r>
        <w:rPr>
          <w:b/>
        </w:rPr>
        <w:t>для научного доклада</w:t>
      </w:r>
    </w:p>
    <w:p w14:paraId="02B7A0D5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59A1B530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3.1.1. Требования к результатам обучения</w:t>
      </w:r>
    </w:p>
    <w:p w14:paraId="2BB0D9EB" w14:textId="4BFD76F5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УК-5; ОПК-1</w:t>
      </w:r>
      <w:r w:rsidR="00215FA1">
        <w:t>, ОПК-2</w:t>
      </w:r>
      <w:r>
        <w:t xml:space="preserve">, </w:t>
      </w:r>
      <w:r w:rsidR="002C3BE6">
        <w:t>ПК-1, ПК–2, ПК–3</w:t>
      </w:r>
      <w:r>
        <w:t>.</w:t>
      </w:r>
    </w:p>
    <w:p w14:paraId="3AA4D0EE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14:paraId="5FF01C04" w14:textId="77777777"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3.1.2. Примерный перечень тем научно-квалификационных работ (диссертаций)</w:t>
      </w:r>
      <w:r>
        <w:rPr>
          <w:i/>
        </w:rPr>
        <w:t xml:space="preserve"> </w:t>
      </w:r>
      <w:r>
        <w:rPr>
          <w:b/>
        </w:rPr>
        <w:t>и порядок их утверждения:</w:t>
      </w:r>
    </w:p>
    <w:p w14:paraId="196FB254" w14:textId="77777777"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>Аспиранту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вуза. В т</w:t>
      </w:r>
      <w:r>
        <w:rPr>
          <w:rFonts w:eastAsia="Calibri"/>
          <w:bCs/>
        </w:rPr>
        <w:t>еме диссертации должно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биологической науки.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6D18F111" w14:textId="77777777"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 xml:space="preserve">Примерный перечень тем диссертаций по направлению подготовки 06.06.01 </w:t>
      </w:r>
      <w:r>
        <w:lastRenderedPageBreak/>
        <w:t>Биологические науки (</w:t>
      </w:r>
      <w:r w:rsidR="002C3BE6">
        <w:rPr>
          <w:lang w:eastAsia="ar-SA"/>
        </w:rPr>
        <w:t>Биохимия</w:t>
      </w:r>
      <w:r>
        <w:rPr>
          <w:lang w:eastAsia="ar-SA"/>
        </w:rPr>
        <w:t>)</w:t>
      </w:r>
      <w:r>
        <w:t>:</w:t>
      </w:r>
    </w:p>
    <w:p w14:paraId="70E50DFD" w14:textId="77777777" w:rsidR="004133E7" w:rsidRPr="009F1BC5" w:rsidRDefault="007D74ED" w:rsidP="004133E7">
      <w:pPr>
        <w:keepNext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shd w:val="clear" w:color="auto" w:fill="FFFFFF"/>
        </w:rPr>
        <w:t xml:space="preserve">Изучение фармакологической активности экстрактов лотоса </w:t>
      </w:r>
      <w:proofErr w:type="spellStart"/>
      <w:r>
        <w:rPr>
          <w:shd w:val="clear" w:color="auto" w:fill="FFFFFF"/>
        </w:rPr>
        <w:t>орехоносного</w:t>
      </w:r>
      <w:proofErr w:type="spellEnd"/>
      <w:r>
        <w:rPr>
          <w:shd w:val="clear" w:color="auto" w:fill="FFFFFF"/>
        </w:rPr>
        <w:t xml:space="preserve"> </w:t>
      </w:r>
    </w:p>
    <w:p w14:paraId="1E5683A5" w14:textId="77777777" w:rsidR="007D74ED" w:rsidRPr="007D74ED" w:rsidRDefault="007D74ED" w:rsidP="007D74ED">
      <w:pPr>
        <w:pStyle w:val="a5"/>
        <w:keepNext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7D74ED">
        <w:rPr>
          <w:rFonts w:ascii="Times New Roman" w:eastAsia="Calibri" w:hAnsi="Times New Roman"/>
          <w:bCs/>
          <w:sz w:val="24"/>
          <w:szCs w:val="24"/>
        </w:rPr>
        <w:t>Нейропротективное</w:t>
      </w:r>
      <w:proofErr w:type="spellEnd"/>
      <w:r w:rsidRPr="007D74ED">
        <w:rPr>
          <w:rFonts w:ascii="Times New Roman" w:eastAsia="Calibri" w:hAnsi="Times New Roman"/>
          <w:bCs/>
          <w:sz w:val="24"/>
          <w:szCs w:val="24"/>
        </w:rPr>
        <w:t xml:space="preserve"> и </w:t>
      </w:r>
      <w:proofErr w:type="spellStart"/>
      <w:r w:rsidRPr="007D74ED">
        <w:rPr>
          <w:rFonts w:ascii="Times New Roman" w:eastAsia="Calibri" w:hAnsi="Times New Roman"/>
          <w:bCs/>
          <w:sz w:val="24"/>
          <w:szCs w:val="24"/>
        </w:rPr>
        <w:t>анксиолитическое</w:t>
      </w:r>
      <w:proofErr w:type="spellEnd"/>
      <w:r w:rsidRPr="007D74ED">
        <w:rPr>
          <w:rFonts w:ascii="Times New Roman" w:eastAsia="Calibri" w:hAnsi="Times New Roman"/>
          <w:bCs/>
          <w:sz w:val="24"/>
          <w:szCs w:val="24"/>
        </w:rPr>
        <w:t xml:space="preserve"> действие экстракта шлемника в норме и при моделировании тревожно-депрессивных расстройств</w:t>
      </w:r>
    </w:p>
    <w:p w14:paraId="78051798" w14:textId="77777777" w:rsidR="007D74ED" w:rsidRPr="007D74ED" w:rsidRDefault="004133E7" w:rsidP="007D74ED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D74ED">
        <w:rPr>
          <w:rFonts w:eastAsia="Calibri"/>
          <w:bCs/>
        </w:rPr>
        <w:t>.</w:t>
      </w:r>
      <w:r w:rsidR="007D74ED" w:rsidRPr="007D74ED">
        <w:t xml:space="preserve"> </w:t>
      </w:r>
      <w:proofErr w:type="spellStart"/>
      <w:r w:rsidR="007D74ED">
        <w:rPr>
          <w:rFonts w:ascii="Times New Roman" w:eastAsia="Calibri" w:hAnsi="Times New Roman"/>
          <w:bCs/>
          <w:sz w:val="24"/>
          <w:szCs w:val="24"/>
        </w:rPr>
        <w:t>Г</w:t>
      </w:r>
      <w:r w:rsidR="007D74ED" w:rsidRPr="007D74ED">
        <w:rPr>
          <w:rFonts w:ascii="Times New Roman" w:eastAsia="Calibri" w:hAnsi="Times New Roman"/>
          <w:bCs/>
          <w:sz w:val="24"/>
          <w:szCs w:val="24"/>
        </w:rPr>
        <w:t>епатопpотектоpные</w:t>
      </w:r>
      <w:proofErr w:type="spellEnd"/>
      <w:r w:rsidR="007D74ED" w:rsidRPr="007D74ED">
        <w:rPr>
          <w:rFonts w:ascii="Times New Roman" w:eastAsia="Calibri" w:hAnsi="Times New Roman"/>
          <w:bCs/>
          <w:sz w:val="24"/>
          <w:szCs w:val="24"/>
        </w:rPr>
        <w:t xml:space="preserve"> и антиоксидантные эффекты экстрактов </w:t>
      </w:r>
      <w:proofErr w:type="spellStart"/>
      <w:r w:rsidR="007D74ED" w:rsidRPr="007D74ED">
        <w:rPr>
          <w:rFonts w:ascii="Times New Roman" w:eastAsia="Calibri" w:hAnsi="Times New Roman"/>
          <w:bCs/>
          <w:sz w:val="24"/>
          <w:szCs w:val="24"/>
        </w:rPr>
        <w:t>лотоcа</w:t>
      </w:r>
      <w:proofErr w:type="spellEnd"/>
      <w:r w:rsidR="007D74ED" w:rsidRPr="007D74E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7D74ED" w:rsidRPr="007D74ED">
        <w:rPr>
          <w:rFonts w:ascii="Times New Roman" w:eastAsia="Calibri" w:hAnsi="Times New Roman"/>
          <w:bCs/>
          <w:sz w:val="24"/>
          <w:szCs w:val="24"/>
        </w:rPr>
        <w:t>оpехоноcного</w:t>
      </w:r>
      <w:proofErr w:type="spellEnd"/>
    </w:p>
    <w:p w14:paraId="76672D6F" w14:textId="77777777" w:rsidR="004133E7" w:rsidRPr="009F1BC5" w:rsidRDefault="007D74ED" w:rsidP="004133E7">
      <w:pPr>
        <w:keepNext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Гиполипидемическое</w:t>
      </w:r>
      <w:proofErr w:type="spellEnd"/>
      <w:r>
        <w:rPr>
          <w:rFonts w:eastAsia="Calibri"/>
          <w:bCs/>
        </w:rPr>
        <w:t xml:space="preserve"> и антиоксидантное действие экстрактов лотоса </w:t>
      </w:r>
      <w:proofErr w:type="spellStart"/>
      <w:r>
        <w:rPr>
          <w:rFonts w:eastAsia="Calibri"/>
          <w:bCs/>
        </w:rPr>
        <w:t>орехоносного</w:t>
      </w:r>
      <w:proofErr w:type="spellEnd"/>
    </w:p>
    <w:p w14:paraId="6F46E80B" w14:textId="77777777" w:rsidR="004133E7" w:rsidRPr="009F1BC5" w:rsidRDefault="007D74ED" w:rsidP="004133E7">
      <w:pPr>
        <w:keepNext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Фармаколдогическая</w:t>
      </w:r>
      <w:proofErr w:type="spellEnd"/>
      <w:r>
        <w:rPr>
          <w:rFonts w:eastAsia="Calibri"/>
          <w:bCs/>
        </w:rPr>
        <w:t xml:space="preserve"> активность экстрактов лоха узколистного</w:t>
      </w:r>
    </w:p>
    <w:p w14:paraId="0E40DD6B" w14:textId="77777777" w:rsidR="004133E7" w:rsidRPr="009F1BC5" w:rsidRDefault="004133E7" w:rsidP="004133E7">
      <w:pPr>
        <w:keepNext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9F1BC5">
        <w:rPr>
          <w:rFonts w:eastAsia="Calibri"/>
          <w:bCs/>
        </w:rPr>
        <w:t xml:space="preserve">Выделение, </w:t>
      </w:r>
      <w:proofErr w:type="spellStart"/>
      <w:r w:rsidRPr="009F1BC5">
        <w:rPr>
          <w:rFonts w:eastAsia="Calibri"/>
          <w:bCs/>
        </w:rPr>
        <w:t>индетификация</w:t>
      </w:r>
      <w:proofErr w:type="spellEnd"/>
      <w:r w:rsidRPr="009F1BC5">
        <w:rPr>
          <w:rFonts w:eastAsia="Calibri"/>
          <w:bCs/>
        </w:rPr>
        <w:t xml:space="preserve"> алкалоидов из растения Лотос </w:t>
      </w:r>
      <w:proofErr w:type="spellStart"/>
      <w:r w:rsidRPr="009F1BC5">
        <w:rPr>
          <w:rFonts w:eastAsia="Calibri"/>
          <w:bCs/>
        </w:rPr>
        <w:t>орехоносный</w:t>
      </w:r>
      <w:proofErr w:type="spellEnd"/>
      <w:r w:rsidRPr="009F1BC5">
        <w:rPr>
          <w:rFonts w:eastAsia="Calibri"/>
          <w:bCs/>
        </w:rPr>
        <w:t xml:space="preserve"> и изучение их биологической активности.</w:t>
      </w:r>
    </w:p>
    <w:p w14:paraId="697B093E" w14:textId="77777777" w:rsidR="004133E7" w:rsidRPr="009F1BC5" w:rsidRDefault="004133E7" w:rsidP="00476DDB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eastAsia="Calibri"/>
          <w:bCs/>
        </w:rPr>
      </w:pPr>
    </w:p>
    <w:p w14:paraId="301E7248" w14:textId="6BF68E3B"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>Утверждение тем научно-</w:t>
      </w:r>
      <w:proofErr w:type="gramStart"/>
      <w:r w:rsidR="00866576">
        <w:rPr>
          <w:rFonts w:eastAsia="Calibri"/>
          <w:bCs/>
        </w:rPr>
        <w:t xml:space="preserve">квалификационной </w:t>
      </w:r>
      <w:r>
        <w:rPr>
          <w:rFonts w:eastAsia="Calibri"/>
          <w:bCs/>
        </w:rPr>
        <w:t xml:space="preserve"> работы</w:t>
      </w:r>
      <w:proofErr w:type="gramEnd"/>
      <w:r>
        <w:rPr>
          <w:rFonts w:eastAsia="Calibri"/>
          <w:bCs/>
        </w:rPr>
        <w:t xml:space="preserve"> обучающимся осуществляется приказом ректора университета. Изменение темы диссертации принимается решением ученого совета биологического факультета по представлению кафедры </w:t>
      </w:r>
      <w:r w:rsidR="002C3BE6">
        <w:rPr>
          <w:rFonts w:eastAsia="Calibri"/>
          <w:bCs/>
        </w:rPr>
        <w:t>физиологии, морфологии, генетики и биомедицины</w:t>
      </w:r>
      <w:r>
        <w:rPr>
          <w:rFonts w:eastAsia="Calibri"/>
          <w:bCs/>
        </w:rPr>
        <w:t xml:space="preserve"> не позднее одного года до окончания срока обучения аспиранта. Решение ученого</w:t>
      </w:r>
      <w:r>
        <w:t xml:space="preserve"> совета факультета утверждается приказом ректора. 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14:paraId="1B12F712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14:paraId="419D28E2" w14:textId="77777777"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3.1.3. Требования к научному докладу</w:t>
      </w:r>
      <w:r>
        <w:t>:</w:t>
      </w:r>
    </w:p>
    <w:p w14:paraId="45363A8C" w14:textId="77777777"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(приложение 1).</w:t>
      </w:r>
    </w:p>
    <w:p w14:paraId="4C70DB89" w14:textId="77777777" w:rsidR="004133E7" w:rsidRDefault="004133E7" w:rsidP="004133E7">
      <w:pPr>
        <w:keepNext/>
        <w:widowControl w:val="0"/>
        <w:ind w:firstLine="709"/>
        <w:jc w:val="both"/>
        <w:rPr>
          <w:color w:val="000000"/>
        </w:rPr>
      </w:pPr>
      <w:r>
        <w:t>В тексте научного доклада, объемом до 1 авторского листа (16 страниц, междустрочный интервал – 1,5) приводятся сведения об организации, в которой подготовлен научный</w:t>
      </w:r>
      <w:r>
        <w:rPr>
          <w:color w:val="000000"/>
        </w:rPr>
        <w:t xml:space="preserve"> доклад,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 рецензентах, о научном(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руководителе(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14:paraId="20A2E5F9" w14:textId="77777777"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доклада.</w:t>
      </w:r>
    </w:p>
    <w:p w14:paraId="245D34B6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26BBE6E3" w14:textId="77777777" w:rsidR="004133E7" w:rsidRDefault="004133E7" w:rsidP="004133E7">
      <w:pPr>
        <w:keepNext/>
        <w:widowControl w:val="0"/>
        <w:numPr>
          <w:ilvl w:val="2"/>
          <w:numId w:val="8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Процедура представления научного доклада:</w:t>
      </w:r>
    </w:p>
    <w:p w14:paraId="119551DB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Университет обеспечивает ознакомление обучающегося с отзывом и рецензией (рецензиями) не позднее чем за 7 календарных дней</w:t>
      </w:r>
      <w:r>
        <w:rPr>
          <w:color w:val="FF0000"/>
        </w:rPr>
        <w:t xml:space="preserve"> </w:t>
      </w:r>
      <w:r>
        <w:t>до</w:t>
      </w:r>
      <w:r>
        <w:rPr>
          <w:color w:val="FF0000"/>
        </w:rPr>
        <w:t xml:space="preserve"> </w:t>
      </w:r>
      <w:r>
        <w:t>представления научного доклада об основных результатах подготовленной научно-квалификационной работы.</w:t>
      </w:r>
    </w:p>
    <w:p w14:paraId="28720BA9" w14:textId="77777777" w:rsidR="004133E7" w:rsidRDefault="004133E7" w:rsidP="004133E7">
      <w:pPr>
        <w:keepNext/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0" w:name="sub_34"/>
    </w:p>
    <w:p w14:paraId="3A3628B6" w14:textId="77777777" w:rsidR="004133E7" w:rsidRDefault="004133E7" w:rsidP="004133E7">
      <w:pPr>
        <w:keepNext/>
        <w:widowControl w:val="0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0"/>
    </w:p>
    <w:p w14:paraId="4AC4B18C" w14:textId="77777777" w:rsidR="004133E7" w:rsidRDefault="004133E7" w:rsidP="004133E7">
      <w:pPr>
        <w:keepNext/>
        <w:widowControl w:val="0"/>
        <w:shd w:val="clear" w:color="auto" w:fill="FFFFFF"/>
        <w:ind w:firstLine="426"/>
        <w:jc w:val="both"/>
      </w:pPr>
      <w: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14:paraId="76DC231E" w14:textId="77777777" w:rsidR="004133E7" w:rsidRDefault="004133E7" w:rsidP="004133E7">
      <w:pPr>
        <w:keepNext/>
        <w:widowControl w:val="0"/>
        <w:shd w:val="clear" w:color="auto" w:fill="FFFFFF"/>
        <w:ind w:firstLine="426"/>
        <w:jc w:val="both"/>
        <w:rPr>
          <w:i/>
        </w:rPr>
      </w:pPr>
    </w:p>
    <w:p w14:paraId="763C3F3D" w14:textId="77777777" w:rsidR="004133E7" w:rsidRDefault="004133E7" w:rsidP="002C3BE6">
      <w:pPr>
        <w:keepNext/>
        <w:widowControl w:val="0"/>
        <w:shd w:val="clear" w:color="auto" w:fill="FFFFFF"/>
        <w:ind w:firstLine="426"/>
        <w:jc w:val="both"/>
        <w:rPr>
          <w:b/>
        </w:rPr>
      </w:pPr>
      <w:r>
        <w:rPr>
          <w:b/>
        </w:rPr>
        <w:t>3.1.</w:t>
      </w:r>
      <w:proofErr w:type="gramStart"/>
      <w:r>
        <w:rPr>
          <w:b/>
        </w:rPr>
        <w:t>5.</w:t>
      </w:r>
      <w:r>
        <w:rPr>
          <w:b/>
          <w:bCs/>
        </w:rPr>
        <w:t>Методические</w:t>
      </w:r>
      <w:proofErr w:type="gramEnd"/>
      <w:r>
        <w:rPr>
          <w:b/>
          <w:bCs/>
        </w:rPr>
        <w:t xml:space="preserve"> материалы, определяющие процедуру оценивания результатов подготовки и </w:t>
      </w:r>
      <w:r>
        <w:rPr>
          <w:b/>
        </w:rPr>
        <w:t xml:space="preserve">представления научного доклада </w:t>
      </w:r>
    </w:p>
    <w:p w14:paraId="0053056B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 xml:space="preserve">Заседания комиссий проводятся председателями комиссий. Решения комиссий </w:t>
      </w:r>
      <w:r>
        <w:lastRenderedPageBreak/>
        <w:t>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0C038FE6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7FB41C9B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3229911C" w14:textId="77777777" w:rsidR="00866576" w:rsidRDefault="004133E7" w:rsidP="00866576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>Протоколы заседаний государственной экзаменационной комиссии сшиваются в</w:t>
      </w:r>
      <w:r w:rsidR="00866576">
        <w:t xml:space="preserve"> книги и хранятся в архиве университета</w:t>
      </w:r>
      <w:r w:rsidR="00866576">
        <w:rPr>
          <w:i/>
        </w:rPr>
        <w:t>.</w:t>
      </w:r>
    </w:p>
    <w:p w14:paraId="7FB0B376" w14:textId="77777777" w:rsidR="00866576" w:rsidRDefault="00866576" w:rsidP="00866576">
      <w:pPr>
        <w:keepNext/>
        <w:widowControl w:val="0"/>
        <w:autoSpaceDE w:val="0"/>
        <w:autoSpaceDN w:val="0"/>
        <w:adjustRightInd w:val="0"/>
        <w:jc w:val="both"/>
        <w:rPr>
          <w:i/>
        </w:rPr>
      </w:pPr>
    </w:p>
    <w:p w14:paraId="38E1C355" w14:textId="77777777" w:rsidR="00866576" w:rsidRDefault="00866576" w:rsidP="00866576">
      <w:pPr>
        <w:keepNext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Показатели и критерии оценивания результатов подготовки и </w:t>
      </w:r>
    </w:p>
    <w:p w14:paraId="480F6B52" w14:textId="77777777" w:rsidR="00866576" w:rsidRDefault="00866576" w:rsidP="00866576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представления научного доклада  </w:t>
      </w:r>
    </w:p>
    <w:p w14:paraId="129501A8" w14:textId="77777777" w:rsidR="00866576" w:rsidRDefault="00866576" w:rsidP="00866576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14:paraId="796D4DD7" w14:textId="77777777" w:rsidR="00866576" w:rsidRDefault="00866576" w:rsidP="00866576">
      <w:pPr>
        <w:keepNext/>
        <w:widowControl w:val="0"/>
        <w:autoSpaceDE w:val="0"/>
        <w:autoSpaceDN w:val="0"/>
        <w:adjustRightInd w:val="0"/>
        <w:jc w:val="center"/>
      </w:pPr>
      <w:r w:rsidRPr="002C3BE6">
        <w:t>Шкала и критерии оценивания научного доклада и собеседования по результатам доклада</w:t>
      </w:r>
    </w:p>
    <w:p w14:paraId="4FA8414D" w14:textId="77777777" w:rsidR="00866576" w:rsidRDefault="00866576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14:paraId="76D75661" w14:textId="7039F635" w:rsidR="002C3BE6" w:rsidRDefault="00866576" w:rsidP="00866576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508"/>
      </w:tblGrid>
      <w:tr w:rsidR="004133E7" w14:paraId="6FB9EA85" w14:textId="7777777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BC1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Оценка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9FF8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</w:tr>
      <w:tr w:rsidR="004133E7" w14:paraId="4E5E5A3C" w14:textId="7777777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337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B68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Аспирант представил глубокое и хорошо аргументированное обоснование темы, которая соответствует содержанию научно-квалификационной работы (диссертации); доклад содержит четкую формулировку и понимание изучаемой проблемы, объекта и предмета исследования; широкое и правильное использование относящейся к теме литературы и примененных соответствующих методов исследования, понимание методологии научного исследования; умение выявлять недостатки использованных теорий и делать обобщения на основе отдельных деталей. Содержание исследования и ход защиты доклада указывают на наличие навыков работы аспиранта в данной научной области. Аспирант демонстрирует высокий уровень научной эрудиции, свободное владение профессиональной терминологией; в полном объеме, логично, четко и ясно излагает основные положения. Представленный в докладе материал полностью соответствует современному уровню представлений по рассматриваемой проблематике. Тема представленного исследования актуальна, выводы и рекомендации аргументированы и обоснованы, являются оригинальными и отсутствуют некорректные заимствования. Результаты научного исследования аспиранта представлены в российских рецензируемых изданиях в том числе в журналах из перечня ВАК, индексируемых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. </w:t>
            </w:r>
          </w:p>
        </w:tc>
      </w:tr>
      <w:tr w:rsidR="004133E7" w14:paraId="4BB28C22" w14:textId="7777777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8764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7C5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Аспирант представил аргументированное обоснование темы; доклад содержит четкую формулировку и понимание изучаемой проблемы; использование ограниченного числа литературных источников, но достаточного для проведения исследования. Результаты научного исследования, представленные в научном докладе, основаны на среднем по глубине анализе изучаемой проблемы и при этом сделано незначительное число обобщений. Содержание и ход защиты научного доклада указывает на наличие практических навыков работы аспиранта в данной области, достаточную научную и профессионально-педагогическую подготовку аспиранта. Аспирант демонстрирует достаточный уровень научной эрудиции для поддержания научной дискуссии; в полном объеме, логично, достаточно четко и ясно излагает основные положения. Представленный в докладе материал в достаточной мере соответствует современному уровню представлений по рассматриваемой проблематике. Актуальность темы представленного исследования проработана в достаточной степени. Имеются отдельные недостатки/неточности в приведенной аргументации. Выводы и рекомендации являются оригинальными и отсутствуют некорректные заимствования. Результаты научного исследования аспиранта представлены только в публикациях в российских рецензируемых изданиях. </w:t>
            </w:r>
          </w:p>
        </w:tc>
      </w:tr>
      <w:tr w:rsidR="004133E7" w14:paraId="05153DB8" w14:textId="7777777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DDB4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Удовлетворительно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4B4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Аспирант представил достаточное обоснование выбранной темы, но отсутствует глубокое понимание рассматриваемой проблемы. В докладе приведен анализ положений в основном из стандартных литературных источников, научные труды, необходимые для всестороннего изучения проблемы, использованы в ограниченном объеме. Заметна нехватка компетентности аспиранта в данной научной области. Представление и защита научного доклада показала удовлетворительную профессиональную подготовку аспиранта, но ограниченную склонность к научной работе. Аспирант демонстрирует средний уровень научной эрудиции; не всегда в полном объеме, логично и достаточно четко и ясно излагает основные положения. Представленный в докладе материал не в полной мере соответствует современному уровню представлений по рассматриваемой проблематике. Актуальность темы представленного исследования не в полной мере проработана. Имеются отдельные недостатки/неточности в приведенной аргументации. Выводы и рекомендации являются не в полной мере оригинальными. Результаты научного исследования аспиранта представлены только в публикациях в российских рецензируемых изданиях.</w:t>
            </w:r>
          </w:p>
        </w:tc>
      </w:tr>
      <w:tr w:rsidR="004133E7" w14:paraId="6602EE00" w14:textId="7777777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6488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Неудовлетворительно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116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Тема научного доклада аспиранта представлена в общем виде, содержание научного доклада не соответствует теме научно- квалификационной работы (диссертации). При выполнении научного исследования использовано ограниченное количество источников. Аспирант демонстрирует низкий уровень научной эрудиции. Логика изложения материала затрудняет слушателям его восприятие, материал излагается шаблонно. Имеются недостатки/неточности в приведенной аргументации. Представленный в докладе материал не соответствует современному уровню представлений по рассматриваемой проблематике. Актуальность темы представленного исследования не раскрыта. Научные положения, выводы и рекомендации не обоснованы. Результаты научного исследования аспиранта не представлены в публикациях. </w:t>
            </w:r>
          </w:p>
        </w:tc>
      </w:tr>
    </w:tbl>
    <w:p w14:paraId="19715B02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14:paraId="2CBD0982" w14:textId="77777777"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Cs/>
          <w:i/>
        </w:rPr>
      </w:pPr>
      <w:r>
        <w:rPr>
          <w:b/>
        </w:rPr>
        <w:t xml:space="preserve">3.2. </w:t>
      </w:r>
      <w:r>
        <w:rPr>
          <w:b/>
          <w:bCs/>
        </w:rPr>
        <w:t>Фонд оценочных средств для</w:t>
      </w:r>
      <w:r>
        <w:rPr>
          <w:b/>
        </w:rPr>
        <w:t xml:space="preserve"> государственного экзамена </w:t>
      </w:r>
    </w:p>
    <w:p w14:paraId="6B229964" w14:textId="77777777"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29637103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3.2.1. Требования к результатам обучения</w:t>
      </w:r>
    </w:p>
    <w:p w14:paraId="66F35847" w14:textId="557A5CF6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i/>
        </w:rPr>
      </w:pPr>
      <w:r>
        <w:t xml:space="preserve">В процессе подготовки к сдаче и сдачи государственного экзамена формируются и проверяются следующие компетенции – универсальные (УК-1, УК-2, УК-3, УК-4, УК-5),  общепрофессиональные </w:t>
      </w:r>
      <w:r w:rsidR="002C3BE6">
        <w:t>(ОПК-1</w:t>
      </w:r>
      <w:r w:rsidR="00126314">
        <w:t>, ОПК-2</w:t>
      </w:r>
      <w:r>
        <w:t>), и про</w:t>
      </w:r>
      <w:r w:rsidR="002C3BE6">
        <w:t>фессиональные (ПК-1, ПК–2, ПК–3</w:t>
      </w:r>
      <w:r>
        <w:t>).</w:t>
      </w:r>
    </w:p>
    <w:p w14:paraId="208E93FB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8CFC526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14:paraId="75CB08C9" w14:textId="77777777" w:rsidR="004133E7" w:rsidRDefault="004133E7" w:rsidP="004133E7">
      <w:pPr>
        <w:keepNext/>
        <w:widowControl w:val="0"/>
        <w:tabs>
          <w:tab w:val="left" w:pos="2295"/>
        </w:tabs>
        <w:ind w:firstLine="709"/>
        <w:jc w:val="both"/>
        <w:rPr>
          <w:rFonts w:eastAsia="Calibri"/>
          <w:b/>
          <w:lang w:eastAsia="en-US"/>
        </w:rPr>
      </w:pPr>
    </w:p>
    <w:p w14:paraId="091CF9E3" w14:textId="77777777" w:rsidR="004133E7" w:rsidRDefault="004133E7" w:rsidP="004133E7">
      <w:pPr>
        <w:keepNext/>
        <w:widowControl w:val="0"/>
        <w:tabs>
          <w:tab w:val="left" w:pos="500"/>
        </w:tabs>
        <w:ind w:right="-30"/>
        <w:jc w:val="both"/>
        <w:rPr>
          <w:lang w:eastAsia="ko-KR"/>
        </w:rPr>
      </w:pPr>
    </w:p>
    <w:p w14:paraId="37AB3E7A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История развития биохимии. Основные направления развития отечественной биохимии. </w:t>
      </w:r>
    </w:p>
    <w:p w14:paraId="3F888CF6" w14:textId="77777777" w:rsidR="00476DDB" w:rsidRDefault="00476DDB" w:rsidP="009E6CD8">
      <w:pPr>
        <w:numPr>
          <w:ilvl w:val="0"/>
          <w:numId w:val="25"/>
        </w:numPr>
        <w:jc w:val="both"/>
      </w:pPr>
      <w:r w:rsidRPr="00476DDB">
        <w:t xml:space="preserve">Обмен веществ и энергии, иерархическая структурная организация и самовоспроизведение как важнейшие признаки живой материи. </w:t>
      </w:r>
    </w:p>
    <w:p w14:paraId="74948D82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Строение и функции белков. Белки простые и сложные. Уровни организации белковой молекулы. </w:t>
      </w:r>
    </w:p>
    <w:p w14:paraId="0205B3C2" w14:textId="77777777" w:rsidR="00476DDB" w:rsidRDefault="00476DDB" w:rsidP="00B72114">
      <w:pPr>
        <w:numPr>
          <w:ilvl w:val="0"/>
          <w:numId w:val="25"/>
        </w:numPr>
        <w:jc w:val="both"/>
      </w:pPr>
      <w:r w:rsidRPr="00476DDB">
        <w:lastRenderedPageBreak/>
        <w:t xml:space="preserve">Многообразие структурно и функционально различных белков. Биологически активные пептиды. Структурные белки. </w:t>
      </w:r>
    </w:p>
    <w:p w14:paraId="2FCDD2F3" w14:textId="77777777" w:rsidR="00476DDB" w:rsidRPr="00476DDB" w:rsidRDefault="00476DDB" w:rsidP="00B72114">
      <w:pPr>
        <w:numPr>
          <w:ilvl w:val="0"/>
          <w:numId w:val="25"/>
        </w:numPr>
        <w:jc w:val="both"/>
      </w:pPr>
      <w:r w:rsidRPr="00476DDB">
        <w:t xml:space="preserve">Нуклеиновые кислоты. Виды, роль в процессах жизнедеятельности. Нуклеотидный состав </w:t>
      </w:r>
      <w:r>
        <w:t>РНК</w:t>
      </w:r>
      <w:r w:rsidRPr="00476DDB">
        <w:t xml:space="preserve"> и </w:t>
      </w:r>
      <w:r>
        <w:t>ДНК</w:t>
      </w:r>
      <w:r w:rsidRPr="00476DDB">
        <w:t xml:space="preserve">. Вторичная структура РНК. Двойная спираль ДНК.  </w:t>
      </w:r>
    </w:p>
    <w:p w14:paraId="062273F9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Рибосомы и </w:t>
      </w:r>
      <w:proofErr w:type="spellStart"/>
      <w:r w:rsidRPr="00476DDB">
        <w:t>рибосомальные</w:t>
      </w:r>
      <w:proofErr w:type="spellEnd"/>
      <w:r w:rsidRPr="00476DDB">
        <w:t xml:space="preserve"> РНК. </w:t>
      </w:r>
      <w:proofErr w:type="spellStart"/>
      <w:r w:rsidRPr="00476DDB">
        <w:t>Полирибосомы</w:t>
      </w:r>
      <w:proofErr w:type="spellEnd"/>
      <w:r w:rsidRPr="00476DDB">
        <w:t xml:space="preserve"> и матричные РНК. Транспортные РНК. Строение хромосом. Самосборка нуклеопротеидных частиц.</w:t>
      </w:r>
    </w:p>
    <w:p w14:paraId="72C7CAB5" w14:textId="77777777" w:rsid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Ферменты. История открытия и изучения ферментов. Классификация и номенклатура ферментов. Свойства ферментов. </w:t>
      </w:r>
    </w:p>
    <w:p w14:paraId="75B864E2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Специфичность действия. Зависимость скорости ферментативных реакций от температуры, рН, концентрации фермента и субстрата. </w:t>
      </w:r>
    </w:p>
    <w:p w14:paraId="3E0317EE" w14:textId="77777777" w:rsidR="00476DDB" w:rsidRDefault="00476DDB" w:rsidP="00ED32BB">
      <w:pPr>
        <w:numPr>
          <w:ilvl w:val="0"/>
          <w:numId w:val="25"/>
        </w:numPr>
        <w:jc w:val="both"/>
      </w:pPr>
      <w:r w:rsidRPr="00476DDB">
        <w:t xml:space="preserve">Понятие о проферментах и изоферментах. Кофакторы ферментов: ионы металлов и коферменты. </w:t>
      </w:r>
      <w:proofErr w:type="spellStart"/>
      <w:r w:rsidRPr="00476DDB">
        <w:t>Коферментные</w:t>
      </w:r>
      <w:proofErr w:type="spellEnd"/>
      <w:r w:rsidRPr="00476DDB">
        <w:t xml:space="preserve"> функции витаминов. Ингибиторы ферментов: обратимые и необратимые. Виды ингибирования: конкурентное, неконкурентное, бесконкурентное, субстратное и аллостерическое. </w:t>
      </w:r>
    </w:p>
    <w:p w14:paraId="17B9D99C" w14:textId="77777777" w:rsidR="00476DDB" w:rsidRDefault="00476DDB" w:rsidP="00DE3C7E">
      <w:pPr>
        <w:numPr>
          <w:ilvl w:val="0"/>
          <w:numId w:val="25"/>
        </w:numPr>
        <w:jc w:val="both"/>
      </w:pPr>
      <w:r w:rsidRPr="00476DDB">
        <w:t xml:space="preserve">Регуляция активности и синтеза ферментов. Аллостерические ферменты. Индукция и репрессия синтеза ферментных белков. Теория </w:t>
      </w:r>
      <w:proofErr w:type="spellStart"/>
      <w:r w:rsidRPr="00476DDB">
        <w:t>Жакоба</w:t>
      </w:r>
      <w:proofErr w:type="spellEnd"/>
      <w:r w:rsidRPr="00476DDB">
        <w:t xml:space="preserve"> и Моно. </w:t>
      </w:r>
    </w:p>
    <w:p w14:paraId="4FDDE879" w14:textId="77777777" w:rsidR="00476DDB" w:rsidRDefault="00476DDB" w:rsidP="00DE3C7E">
      <w:pPr>
        <w:numPr>
          <w:ilvl w:val="0"/>
          <w:numId w:val="25"/>
        </w:numPr>
        <w:jc w:val="both"/>
      </w:pPr>
      <w:r w:rsidRPr="00476DDB">
        <w:t xml:space="preserve">Жирные кислоты, в том числе незаменимые. Коэнзим А и его роль в процессе обмена веществ. </w:t>
      </w:r>
      <w:proofErr w:type="spellStart"/>
      <w:r w:rsidRPr="00476DDB">
        <w:t>Ацетилкоэнзим</w:t>
      </w:r>
      <w:proofErr w:type="spellEnd"/>
      <w:r w:rsidRPr="00476DDB">
        <w:t xml:space="preserve"> А. </w:t>
      </w:r>
    </w:p>
    <w:p w14:paraId="0F2C49A5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Биосинтез жирных кислот. Синтетаза жирных кислот. Бета- и альфа-окисление жирных кислот. </w:t>
      </w:r>
      <w:proofErr w:type="spellStart"/>
      <w:r w:rsidRPr="00476DDB">
        <w:t>Липооксигеназа</w:t>
      </w:r>
      <w:proofErr w:type="spellEnd"/>
      <w:r w:rsidRPr="00476DDB">
        <w:t xml:space="preserve">, ее свойства, механизм действия и роль в пищевой промышленности. </w:t>
      </w:r>
    </w:p>
    <w:p w14:paraId="3111F0B2" w14:textId="77777777" w:rsid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Классификация липидов. Жиры и их свойства. Ферментативный гидролиз жиров. Липазы, распространение в природе и характеристика. Биосинтез триглицеридов. </w:t>
      </w:r>
    </w:p>
    <w:p w14:paraId="184BA785" w14:textId="77777777" w:rsidR="00476DDB" w:rsidRDefault="00476DDB" w:rsidP="003D67AE">
      <w:pPr>
        <w:numPr>
          <w:ilvl w:val="0"/>
          <w:numId w:val="25"/>
        </w:numPr>
        <w:jc w:val="both"/>
      </w:pPr>
      <w:r w:rsidRPr="00476DDB">
        <w:t xml:space="preserve">Регуляция процесса распада и синтеза жирных кислот и липидов. </w:t>
      </w:r>
    </w:p>
    <w:p w14:paraId="29665E67" w14:textId="77777777" w:rsidR="00476DDB" w:rsidRPr="00476DDB" w:rsidRDefault="00476DDB" w:rsidP="003D67AE">
      <w:pPr>
        <w:numPr>
          <w:ilvl w:val="0"/>
          <w:numId w:val="25"/>
        </w:numPr>
        <w:jc w:val="both"/>
      </w:pPr>
      <w:r w:rsidRPr="00476DDB">
        <w:t xml:space="preserve">Биологические мембраны, и молекулярная организация. Характеристика плазматической мембраны. Мембраны </w:t>
      </w:r>
      <w:proofErr w:type="spellStart"/>
      <w:r w:rsidRPr="00476DDB">
        <w:t>митихондрий</w:t>
      </w:r>
      <w:proofErr w:type="spellEnd"/>
      <w:r w:rsidRPr="00476DDB">
        <w:t xml:space="preserve">, лизосом, аппарата Гольджи. </w:t>
      </w:r>
    </w:p>
    <w:p w14:paraId="57405B06" w14:textId="77777777" w:rsidR="00476DDB" w:rsidRDefault="00476DDB" w:rsidP="00385F74">
      <w:pPr>
        <w:numPr>
          <w:ilvl w:val="0"/>
          <w:numId w:val="25"/>
        </w:numPr>
        <w:jc w:val="both"/>
      </w:pPr>
      <w:r w:rsidRPr="00476DDB">
        <w:t xml:space="preserve">Ассимиляция молекулярного азота и нитратов. </w:t>
      </w:r>
      <w:proofErr w:type="spellStart"/>
      <w:r w:rsidRPr="00476DDB">
        <w:t>Нитрогеназа</w:t>
      </w:r>
      <w:proofErr w:type="spellEnd"/>
      <w:r w:rsidRPr="00476DDB">
        <w:t xml:space="preserve">, </w:t>
      </w:r>
      <w:proofErr w:type="spellStart"/>
      <w:r w:rsidRPr="00476DDB">
        <w:t>нитратредуктаза</w:t>
      </w:r>
      <w:proofErr w:type="spellEnd"/>
      <w:r w:rsidRPr="00476DDB">
        <w:t xml:space="preserve"> и </w:t>
      </w:r>
      <w:proofErr w:type="spellStart"/>
      <w:r w:rsidRPr="00476DDB">
        <w:t>нитритредуктаза</w:t>
      </w:r>
      <w:proofErr w:type="spellEnd"/>
      <w:r w:rsidRPr="00476DDB">
        <w:t xml:space="preserve">. Первичный синтез аминокислот у растительных организмов и микробов. Кетокислоты как предшественники аминокислот. </w:t>
      </w:r>
    </w:p>
    <w:p w14:paraId="5AF0EB91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Витамины. Классификация, номенклатура витаминов. Жирорастворимые витамины (А, </w:t>
      </w:r>
      <w:r w:rsidRPr="00476DDB">
        <w:rPr>
          <w:lang w:val="en-US"/>
        </w:rPr>
        <w:t>D</w:t>
      </w:r>
      <w:r w:rsidRPr="00476DDB">
        <w:t xml:space="preserve">, Е и </w:t>
      </w:r>
      <w:proofErr w:type="gramStart"/>
      <w:r w:rsidRPr="00476DDB">
        <w:t>К)  -</w:t>
      </w:r>
      <w:proofErr w:type="gramEnd"/>
      <w:r w:rsidRPr="00476DDB">
        <w:t xml:space="preserve"> источники, суточная потребность, биологическая роль. </w:t>
      </w:r>
    </w:p>
    <w:p w14:paraId="6789F337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>Водорастворимы витамины (источники, суточная потребность, биологическая роль.)</w:t>
      </w:r>
    </w:p>
    <w:p w14:paraId="32446125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Жирорастворимые и водорастворимые </w:t>
      </w:r>
      <w:proofErr w:type="spellStart"/>
      <w:r w:rsidRPr="00476DDB">
        <w:t>витаминоподобные</w:t>
      </w:r>
      <w:proofErr w:type="spellEnd"/>
      <w:r w:rsidRPr="00476DDB">
        <w:t xml:space="preserve"> вещества. Витамин </w:t>
      </w:r>
      <w:r w:rsidRPr="00476DDB">
        <w:rPr>
          <w:lang w:val="en-US"/>
        </w:rPr>
        <w:t>F</w:t>
      </w:r>
      <w:r w:rsidRPr="00476DDB">
        <w:t>, влияние на обменные процессы. Понятие об антивитаминах.</w:t>
      </w:r>
    </w:p>
    <w:p w14:paraId="044F8BF5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>Классификация углеводов. Наиболее широко распространенные в природе моносахариды (</w:t>
      </w:r>
      <w:proofErr w:type="spellStart"/>
      <w:r w:rsidRPr="00476DDB">
        <w:t>альдозы</w:t>
      </w:r>
      <w:proofErr w:type="spellEnd"/>
      <w:r w:rsidRPr="00476DDB">
        <w:t xml:space="preserve"> и </w:t>
      </w:r>
      <w:proofErr w:type="spellStart"/>
      <w:r w:rsidRPr="00476DDB">
        <w:t>кетозы</w:t>
      </w:r>
      <w:proofErr w:type="spellEnd"/>
      <w:r w:rsidRPr="00476DDB">
        <w:t xml:space="preserve">) и их свойства. Конформации моносахаридов. Продукты окисления и восстановления моносахаридов. </w:t>
      </w:r>
      <w:proofErr w:type="spellStart"/>
      <w:r w:rsidRPr="00476DDB">
        <w:t>Аминосахара</w:t>
      </w:r>
      <w:proofErr w:type="spellEnd"/>
      <w:r w:rsidRPr="00476DDB">
        <w:t xml:space="preserve">. Гликозиды. Важнейшие дисахариды и </w:t>
      </w:r>
      <w:proofErr w:type="spellStart"/>
      <w:r w:rsidRPr="00476DDB">
        <w:t>трисахариды</w:t>
      </w:r>
      <w:proofErr w:type="spellEnd"/>
      <w:r w:rsidRPr="00476DDB">
        <w:t>. Их моносахаридный состав и строение.</w:t>
      </w:r>
    </w:p>
    <w:p w14:paraId="7AB8DC5D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Основные полисахариды высших растений: крахмал, целлюлоза, гемицеллюлозы, инулин, пектиновые вещества. Углеводы водорослей: </w:t>
      </w:r>
      <w:proofErr w:type="spellStart"/>
      <w:r w:rsidRPr="00476DDB">
        <w:t>агар</w:t>
      </w:r>
      <w:proofErr w:type="spellEnd"/>
      <w:r w:rsidRPr="00476DDB">
        <w:t xml:space="preserve">, </w:t>
      </w:r>
      <w:proofErr w:type="spellStart"/>
      <w:r w:rsidRPr="00476DDB">
        <w:t>альгиновая</w:t>
      </w:r>
      <w:proofErr w:type="spellEnd"/>
      <w:r w:rsidRPr="00476DDB">
        <w:t xml:space="preserve"> кислота, </w:t>
      </w:r>
      <w:proofErr w:type="spellStart"/>
      <w:r w:rsidRPr="00476DDB">
        <w:t>каррагинан</w:t>
      </w:r>
      <w:proofErr w:type="spellEnd"/>
      <w:r w:rsidRPr="00476DDB">
        <w:t xml:space="preserve">. Полисахариды животного происхождения: гликоген, гепарин, хитин. Бактериальные полисахариды: декстраны, </w:t>
      </w:r>
      <w:proofErr w:type="spellStart"/>
      <w:r w:rsidRPr="00476DDB">
        <w:t>ксантан</w:t>
      </w:r>
      <w:proofErr w:type="spellEnd"/>
      <w:r w:rsidRPr="00476DDB">
        <w:t xml:space="preserve">, </w:t>
      </w:r>
      <w:proofErr w:type="spellStart"/>
      <w:r w:rsidRPr="00476DDB">
        <w:t>леван</w:t>
      </w:r>
      <w:proofErr w:type="spellEnd"/>
      <w:r w:rsidRPr="00476DDB">
        <w:t xml:space="preserve">. </w:t>
      </w:r>
    </w:p>
    <w:p w14:paraId="20EADBFD" w14:textId="77777777" w:rsidR="00476DDB" w:rsidRPr="00476DDB" w:rsidRDefault="00476DDB" w:rsidP="005728FC">
      <w:pPr>
        <w:numPr>
          <w:ilvl w:val="0"/>
          <w:numId w:val="25"/>
        </w:numPr>
        <w:jc w:val="both"/>
      </w:pPr>
      <w:r w:rsidRPr="00476DDB">
        <w:t xml:space="preserve">Функции углеводов в живом организме: энергетическая, опорная, маркировка клеточных поверхностей. </w:t>
      </w:r>
    </w:p>
    <w:p w14:paraId="6D064AA8" w14:textId="77777777" w:rsidR="00476DDB" w:rsidRDefault="00476DDB" w:rsidP="00476DDB">
      <w:pPr>
        <w:numPr>
          <w:ilvl w:val="0"/>
          <w:numId w:val="25"/>
        </w:numPr>
        <w:jc w:val="both"/>
      </w:pPr>
      <w:r w:rsidRPr="00476DDB">
        <w:t xml:space="preserve">Общая характеристика процессов диссимиляции. Аэробная и анаэробная диссимиляция углеводов. Взаимосвязь процессов гликозида, брожения и дыхания. «Неполные» окисления (лимонная кислота, уксусная, молочнокислого брожения). </w:t>
      </w:r>
    </w:p>
    <w:p w14:paraId="256AEF64" w14:textId="77777777" w:rsidR="009B7876" w:rsidRDefault="00476DDB" w:rsidP="0079386B">
      <w:pPr>
        <w:numPr>
          <w:ilvl w:val="0"/>
          <w:numId w:val="25"/>
        </w:numPr>
        <w:jc w:val="both"/>
      </w:pPr>
      <w:r w:rsidRPr="00476DDB">
        <w:t xml:space="preserve">Цикл трикарбоновых кислот, его регуляция. </w:t>
      </w:r>
      <w:proofErr w:type="spellStart"/>
      <w:r w:rsidRPr="00476DDB">
        <w:t>Глиоксилатный</w:t>
      </w:r>
      <w:proofErr w:type="spellEnd"/>
      <w:r w:rsidRPr="00476DDB">
        <w:t xml:space="preserve"> цикл. Биосинтез </w:t>
      </w:r>
      <w:proofErr w:type="spellStart"/>
      <w:r w:rsidRPr="00476DDB">
        <w:t>цианических</w:t>
      </w:r>
      <w:proofErr w:type="spellEnd"/>
      <w:r w:rsidRPr="00476DDB">
        <w:t xml:space="preserve"> кислот в растениях. </w:t>
      </w:r>
    </w:p>
    <w:p w14:paraId="126E9996" w14:textId="77777777" w:rsidR="00476DDB" w:rsidRPr="00476DDB" w:rsidRDefault="00476DDB" w:rsidP="0079386B">
      <w:pPr>
        <w:numPr>
          <w:ilvl w:val="0"/>
          <w:numId w:val="25"/>
        </w:numPr>
        <w:jc w:val="both"/>
      </w:pPr>
      <w:r w:rsidRPr="00476DDB">
        <w:t xml:space="preserve">Окислительное фосфорилирование. Системы транспорта электронов. Дыхательная цепь. Переносчики электронов НАД, ФАД, ФМН, </w:t>
      </w:r>
      <w:proofErr w:type="spellStart"/>
      <w:r w:rsidRPr="00476DDB">
        <w:t>СоА</w:t>
      </w:r>
      <w:proofErr w:type="spellEnd"/>
      <w:r w:rsidRPr="00476DDB">
        <w:t xml:space="preserve">, цитохромы. </w:t>
      </w:r>
    </w:p>
    <w:p w14:paraId="3806C332" w14:textId="77777777" w:rsidR="00476DDB" w:rsidRPr="00476DDB" w:rsidRDefault="00476DDB" w:rsidP="00476DDB">
      <w:pPr>
        <w:numPr>
          <w:ilvl w:val="0"/>
          <w:numId w:val="25"/>
        </w:numPr>
        <w:jc w:val="both"/>
      </w:pPr>
      <w:r w:rsidRPr="00476DDB">
        <w:lastRenderedPageBreak/>
        <w:t xml:space="preserve">Локализация окислительных процессов в клетке. Митохондрии, структура и функции отдельных компартментов. Биогенез </w:t>
      </w:r>
      <w:proofErr w:type="spellStart"/>
      <w:r w:rsidRPr="00476DDB">
        <w:t>митохондрий</w:t>
      </w:r>
      <w:proofErr w:type="spellEnd"/>
      <w:r w:rsidRPr="00476DDB">
        <w:t xml:space="preserve">. </w:t>
      </w:r>
      <w:proofErr w:type="spellStart"/>
      <w:r w:rsidRPr="00476DDB">
        <w:t>Хемиосматическая</w:t>
      </w:r>
      <w:proofErr w:type="spellEnd"/>
      <w:r w:rsidRPr="00476DDB">
        <w:t xml:space="preserve"> гипотеза </w:t>
      </w:r>
      <w:proofErr w:type="spellStart"/>
      <w:r w:rsidRPr="00476DDB">
        <w:t>Митчела</w:t>
      </w:r>
      <w:proofErr w:type="spellEnd"/>
      <w:r w:rsidRPr="00476DDB">
        <w:t xml:space="preserve">. </w:t>
      </w:r>
    </w:p>
    <w:p w14:paraId="767B1560" w14:textId="77777777" w:rsidR="009B7876" w:rsidRDefault="00476DDB" w:rsidP="0001203F">
      <w:pPr>
        <w:numPr>
          <w:ilvl w:val="0"/>
          <w:numId w:val="25"/>
        </w:numPr>
        <w:jc w:val="both"/>
      </w:pPr>
      <w:r w:rsidRPr="00476DDB">
        <w:t xml:space="preserve"> Роль АТФ и других </w:t>
      </w:r>
      <w:proofErr w:type="spellStart"/>
      <w:r w:rsidRPr="00476DDB">
        <w:t>нуклеозидтрифосфатов</w:t>
      </w:r>
      <w:proofErr w:type="spellEnd"/>
      <w:r w:rsidRPr="00476DDB">
        <w:t xml:space="preserve">. Энергетический потенциал клетки. Макроэргические связи. </w:t>
      </w:r>
      <w:proofErr w:type="spellStart"/>
      <w:r w:rsidRPr="00476DDB">
        <w:t>Фосфагены</w:t>
      </w:r>
      <w:proofErr w:type="spellEnd"/>
      <w:r w:rsidRPr="00476DDB">
        <w:t xml:space="preserve">. Регуляция энергетического обмена. </w:t>
      </w:r>
    </w:p>
    <w:p w14:paraId="6AEFF743" w14:textId="77777777" w:rsidR="00476DDB" w:rsidRDefault="00476DDB" w:rsidP="0001203F">
      <w:pPr>
        <w:numPr>
          <w:ilvl w:val="0"/>
          <w:numId w:val="25"/>
        </w:numPr>
        <w:jc w:val="both"/>
      </w:pPr>
      <w:r w:rsidRPr="00476DDB">
        <w:t xml:space="preserve">Единство процессов обмена веществ. Связь процессов ассимиляции и диссимиляции. Взаимосвязь между обменом белков, углеводов, жиров и липидов. Принципы термодинамики (энергетика состояния системы). </w:t>
      </w:r>
    </w:p>
    <w:p w14:paraId="1E2BB9BC" w14:textId="77777777" w:rsidR="009149EF" w:rsidRDefault="009149EF" w:rsidP="009149EF">
      <w:pPr>
        <w:numPr>
          <w:ilvl w:val="0"/>
          <w:numId w:val="25"/>
        </w:numPr>
        <w:jc w:val="both"/>
      </w:pPr>
      <w:r>
        <w:t>Сущность и структура профессиональной деятельности преподавателя-исследователя. Ситуационный анализ профессиональной деятельности. Функции преподавателя-исследователя. Нормативная база его профессиональной деятельности.</w:t>
      </w:r>
    </w:p>
    <w:p w14:paraId="0E811DFE" w14:textId="77777777" w:rsidR="009149EF" w:rsidRDefault="009149EF" w:rsidP="009149EF">
      <w:pPr>
        <w:numPr>
          <w:ilvl w:val="0"/>
          <w:numId w:val="25"/>
        </w:numPr>
        <w:jc w:val="both"/>
      </w:pPr>
      <w:r>
        <w:t>Понятие продуктивности, эффективности и качества профессиональной деятельности преподавателя-исследователя. Критерии и показатели эффективности профессиональной деятельности преподавателя-исследователя. Социально-психологические риски профессиональной деятельности.</w:t>
      </w:r>
    </w:p>
    <w:p w14:paraId="0A6851B3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История становления высшего образования. Современная система высшего образования: структура, основные проблемы и тенденции развития. </w:t>
      </w:r>
    </w:p>
    <w:p w14:paraId="5F12EAE2" w14:textId="77777777" w:rsidR="009149EF" w:rsidRDefault="009149EF" w:rsidP="009149EF">
      <w:pPr>
        <w:numPr>
          <w:ilvl w:val="0"/>
          <w:numId w:val="25"/>
        </w:numPr>
        <w:jc w:val="both"/>
      </w:pPr>
      <w:r>
        <w:t>Цели высшего образования. Образовательные программы, учебные планы, ФГОС ВО и их содержание. Система высших учебных заведений.</w:t>
      </w:r>
    </w:p>
    <w:p w14:paraId="73C9DC68" w14:textId="77777777" w:rsidR="009149EF" w:rsidRDefault="009149EF" w:rsidP="009149EF">
      <w:pPr>
        <w:numPr>
          <w:ilvl w:val="0"/>
          <w:numId w:val="25"/>
        </w:numPr>
        <w:jc w:val="both"/>
      </w:pPr>
      <w:r>
        <w:t>Динамика развития взглядов на психологическую сущность высшего образования.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</w:t>
      </w:r>
    </w:p>
    <w:p w14:paraId="221968BC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Основные направления обучения в современном высшем образовании. Социально-психологические условия реализации личностно-деятельностного подхода к обучению в ВО. Индивидуально-дифференцированный подход и способы его реализации в высшей школе. </w:t>
      </w:r>
    </w:p>
    <w:p w14:paraId="43D3BDF4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Различия традиционной и инновационной стратегии организации обучения. Социально-психологические условия реализации личностно-деятельностного и проблемно-развивающего обучения. Психологическая структура учебной деятельности. Понятие учебной задачи в практике преподавания. Виды, типы и структура учебных задач. Таксономия учебных задач (Д. </w:t>
      </w:r>
      <w:proofErr w:type="spellStart"/>
      <w:r>
        <w:t>Толлингерова</w:t>
      </w:r>
      <w:proofErr w:type="spellEnd"/>
      <w:r>
        <w:t>).</w:t>
      </w:r>
    </w:p>
    <w:p w14:paraId="2D2B0253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Понятие управления освоением знаний. Таксономия педагогических целей (Б. </w:t>
      </w:r>
      <w:proofErr w:type="spellStart"/>
      <w:r>
        <w:t>Блум</w:t>
      </w:r>
      <w:proofErr w:type="spellEnd"/>
      <w:r>
        <w:t xml:space="preserve">). Проектирование и организация учебной ситуации. Лекционно-семинарская система и социально-психологические особенности ее реализации в вузе. </w:t>
      </w:r>
    </w:p>
    <w:p w14:paraId="6604E4F8" w14:textId="77777777" w:rsidR="009149EF" w:rsidRDefault="009149EF" w:rsidP="009149EF">
      <w:pPr>
        <w:numPr>
          <w:ilvl w:val="0"/>
          <w:numId w:val="25"/>
        </w:numPr>
        <w:jc w:val="both"/>
      </w:pPr>
      <w:r>
        <w:t>Традиционные и инновационные методы обучения. Интерактивные формы и методы обучения студентов (равный обучает равных, работа в малых группах, кейс-метод и пр.) Проектирование и организация ситуаций совместной продуктивной деятельности преподавателя и студента.</w:t>
      </w:r>
    </w:p>
    <w:p w14:paraId="64D0EE7C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 Возрастные особенности студентов, их ведущая деятельность. Понятие социализации личности. Соотношение понятий «социализация» и «социальное развитие», «воспитание личности». Социализация, </w:t>
      </w:r>
      <w:proofErr w:type="spellStart"/>
      <w:r>
        <w:t>асоциализация</w:t>
      </w:r>
      <w:proofErr w:type="spellEnd"/>
      <w:r>
        <w:t>, десоциализация и ресоциализация. Концепции социализации: содержание, методологические принципы, основные положения.</w:t>
      </w:r>
    </w:p>
    <w:p w14:paraId="3E59F692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Понятие «профессиональное общение», его сущность и содержание; основные психологические характеристики. Виды и формы профессионального общения. Функции профессионального общения в деятельности преподавателя-исследователя. Структура и динамика профессионального общения. Стили </w:t>
      </w:r>
      <w:r>
        <w:lastRenderedPageBreak/>
        <w:t>общения. Стереотипы общения преподавателей. Барьеры во взаимодействии преподавателя и студента. Конфликты во взаимодействии преподавателя и студента: виды и их регулирование.</w:t>
      </w:r>
    </w:p>
    <w:p w14:paraId="1C550B9E" w14:textId="77777777" w:rsidR="009149EF" w:rsidRDefault="009149EF" w:rsidP="009149EF">
      <w:pPr>
        <w:numPr>
          <w:ilvl w:val="0"/>
          <w:numId w:val="25"/>
        </w:numPr>
        <w:jc w:val="both"/>
      </w:pPr>
      <w:r>
        <w:t>Профессиональная адаптация и профессиональное развитие. Профессиональная адаптация как процесс и как результат. Условия профессиональной адаптации преподавателя-исследователя. Психофизиологический, социально-психологический и профессиональный аспект профессиональной адаптации. Адаптивное поведение: виды, особенности, факторы и механизмы его формирования</w:t>
      </w:r>
    </w:p>
    <w:p w14:paraId="05AB784E" w14:textId="77777777" w:rsidR="009149EF" w:rsidRDefault="009149EF" w:rsidP="009149EF">
      <w:pPr>
        <w:numPr>
          <w:ilvl w:val="0"/>
          <w:numId w:val="25"/>
        </w:numPr>
        <w:jc w:val="both"/>
      </w:pPr>
      <w:r>
        <w:t xml:space="preserve">Понятие индивидуального ресурса профессионального преподавателя-исследователя. Бескризисное и стагнирующее профессиональное развитие: механизмы, факторы и условия. Кризисы профессионального развития личности преподавателя-исследователя. Профессиональные риски труда преподавателя-исследователя. </w:t>
      </w:r>
    </w:p>
    <w:p w14:paraId="71D6ABBC" w14:textId="3277DAD5" w:rsidR="009149EF" w:rsidRDefault="009149EF" w:rsidP="009149EF">
      <w:pPr>
        <w:numPr>
          <w:ilvl w:val="0"/>
          <w:numId w:val="25"/>
        </w:numPr>
        <w:jc w:val="both"/>
      </w:pPr>
      <w:r>
        <w:t>Понятие синдрома эмоционального выгорания: его симптомы, направленность и фазы развития. Виды профессиональной деформации личности преподавателя-исследователя. Технологии предупреждения развития профессиональных деформаций личности преподавателя-исследователя и их преодоления.</w:t>
      </w:r>
    </w:p>
    <w:p w14:paraId="12EDBB0E" w14:textId="77777777" w:rsidR="00476DDB" w:rsidRPr="00476DDB" w:rsidRDefault="00476DDB" w:rsidP="00476DDB">
      <w:pPr>
        <w:ind w:left="765"/>
        <w:jc w:val="both"/>
      </w:pPr>
    </w:p>
    <w:p w14:paraId="452DC959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8923D31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3.2.3. Процедура проведения государственного экзамена</w:t>
      </w:r>
    </w:p>
    <w:p w14:paraId="6D423CD1" w14:textId="77777777" w:rsidR="004133E7" w:rsidRDefault="004133E7" w:rsidP="004133E7">
      <w:pPr>
        <w:keepNext/>
        <w:widowControl w:val="0"/>
        <w:shd w:val="clear" w:color="auto" w:fill="FFFFFF"/>
        <w:ind w:firstLine="709"/>
        <w:jc w:val="both"/>
        <w:rPr>
          <w:rFonts w:eastAsia="Arial"/>
          <w:lang w:eastAsia="ar-SA"/>
        </w:rPr>
      </w:pPr>
      <w:r>
        <w:rPr>
          <w:color w:val="000000"/>
        </w:rPr>
        <w:t xml:space="preserve">Перед государственным экзаменом проводится консультирование аспирантов по вопросам, включенным в программу государственного экзамена. </w:t>
      </w:r>
      <w:r>
        <w:rPr>
          <w:rFonts w:eastAsia="Arial"/>
          <w:lang w:eastAsia="ar-SA"/>
        </w:rPr>
        <w:t xml:space="preserve">Во </w:t>
      </w:r>
      <w:proofErr w:type="gramStart"/>
      <w:r>
        <w:rPr>
          <w:rFonts w:eastAsia="Arial"/>
          <w:lang w:eastAsia="ar-SA"/>
        </w:rPr>
        <w:t>время  сдачи</w:t>
      </w:r>
      <w:proofErr w:type="gramEnd"/>
      <w:r>
        <w:rPr>
          <w:rFonts w:eastAsia="Arial"/>
          <w:lang w:eastAsia="ar-SA"/>
        </w:rPr>
        <w:t xml:space="preserve"> экзамена аспирант должен продемонстрировать степень освоения всех видов профессиональной деятельности, к которы</w:t>
      </w:r>
      <w:r w:rsidR="00F57D84">
        <w:rPr>
          <w:rFonts w:eastAsia="Arial"/>
          <w:lang w:eastAsia="ar-SA"/>
        </w:rPr>
        <w:t>м готовится выпускник: научно-</w:t>
      </w:r>
      <w:r>
        <w:rPr>
          <w:rFonts w:eastAsia="Arial"/>
          <w:lang w:eastAsia="ar-SA"/>
        </w:rPr>
        <w:t>исследовательской и преподавательской деятельности по образовательным программам высшего образования.  Результаты государственного экзамена объявляются аспиранту в то же день после оформления протоколов заседания комиссии. Уровень знаний аспиранта оценивается на «отличено», «хорошо», «удовлетворительно», «неудовлетворительно».</w:t>
      </w:r>
    </w:p>
    <w:p w14:paraId="21240AB9" w14:textId="77777777" w:rsidR="004133E7" w:rsidRDefault="004133E7" w:rsidP="004133E7">
      <w:pPr>
        <w:keepNext/>
        <w:widowControl w:val="0"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Экзамен проводится, как правило, в устной форме.  Аспирантам рекомендуется подготовить свои ответы по экзаменационному билету в письменной форме. Запись ответов на вопросы экзаменационного билета делается на специальных проштампованных листах – экзаменационных бланках. </w:t>
      </w:r>
      <w:r>
        <w:rPr>
          <w:color w:val="000000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14:paraId="7EBC2B27" w14:textId="77777777" w:rsidR="004133E7" w:rsidRDefault="004133E7" w:rsidP="004133E7">
      <w:pPr>
        <w:keepNext/>
        <w:widowControl w:val="0"/>
        <w:autoSpaceDE w:val="0"/>
        <w:ind w:firstLine="720"/>
        <w:jc w:val="both"/>
        <w:rPr>
          <w:spacing w:val="-2"/>
          <w:lang w:eastAsia="ar-SA"/>
        </w:rPr>
      </w:pPr>
      <w:r>
        <w:rPr>
          <w:lang w:eastAsia="ar-SA"/>
        </w:rPr>
        <w:t xml:space="preserve"> На </w:t>
      </w:r>
      <w:proofErr w:type="gramStart"/>
      <w:r>
        <w:rPr>
          <w:lang w:eastAsia="ar-SA"/>
        </w:rPr>
        <w:t>подготовку  аспирантам</w:t>
      </w:r>
      <w:proofErr w:type="gramEnd"/>
      <w:r>
        <w:rPr>
          <w:lang w:eastAsia="ar-SA"/>
        </w:rPr>
        <w:t xml:space="preserve"> предоставляется, как правило, 60 минут, о чем они заранее предупреждаются. Аспирант, подготовившись к ответу, информирует секретаря о готовности и садится за эк</w:t>
      </w:r>
      <w:r>
        <w:rPr>
          <w:spacing w:val="-2"/>
          <w:lang w:eastAsia="ar-SA"/>
        </w:rPr>
        <w:t>заменационный стол. В это время секретарь ГЭК приглашает в аудиторию следующего аспиранта.</w:t>
      </w:r>
    </w:p>
    <w:p w14:paraId="13D0701B" w14:textId="77777777" w:rsidR="004133E7" w:rsidRDefault="004133E7" w:rsidP="004133E7">
      <w:pPr>
        <w:keepNext/>
        <w:widowControl w:val="0"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Право выбора порядка ответа предоставляется выпускнику. Комиссия дает возможность аспиранту дать полный ответ по всем вопросам билета.</w:t>
      </w:r>
    </w:p>
    <w:p w14:paraId="3E6975E1" w14:textId="77777777" w:rsidR="004133E7" w:rsidRDefault="004133E7" w:rsidP="004133E7">
      <w:pPr>
        <w:keepNext/>
        <w:widowControl w:val="0"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Каждый член ГЭК принимает решение по оценке результата устного ответа выпускника и фиксирует его в своей рабочей экзаменационной ведомости.</w:t>
      </w:r>
    </w:p>
    <w:p w14:paraId="6EDC09CF" w14:textId="77777777" w:rsidR="004133E7" w:rsidRDefault="004133E7" w:rsidP="00F57D84">
      <w:pPr>
        <w:keepNext/>
        <w:widowControl w:val="0"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Итоги работы ГЭК аспирантам сообщает председатель ГЭК – оглашает выставленные оценки. </w:t>
      </w:r>
    </w:p>
    <w:p w14:paraId="0A713892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49401F2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>
        <w:rPr>
          <w:b/>
        </w:rPr>
        <w:t xml:space="preserve">3.2.4. </w:t>
      </w:r>
      <w:r>
        <w:rPr>
          <w:b/>
          <w:bCs/>
        </w:rPr>
        <w:t xml:space="preserve">Методические материалы, определяющие процедуру оценивания </w:t>
      </w:r>
      <w:r w:rsidR="00F57D84">
        <w:rPr>
          <w:b/>
          <w:bCs/>
        </w:rPr>
        <w:t>результатов государственного экзамена</w:t>
      </w:r>
    </w:p>
    <w:p w14:paraId="2D1B70A4" w14:textId="77777777" w:rsidR="00F57D84" w:rsidRDefault="00F57D84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</w:p>
    <w:p w14:paraId="10BD013F" w14:textId="77777777"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Оценка «отлично» - аспирант демонстрирует глубокое знание содержанием материала, показывает способность к критическому анализу и оценке современных научных достижений, в том числе и в междисциплинарных областях, умеет систематизировать материал, выделяя главное и второстепенное, связывает теорию с </w:t>
      </w:r>
      <w:r>
        <w:rPr>
          <w:rFonts w:eastAsia="Arial"/>
          <w:lang w:eastAsia="ar-SA"/>
        </w:rPr>
        <w:lastRenderedPageBreak/>
        <w:t>практикой, высказывают свое мнение о перспективах развития биологической науки. Ответ аспиранта аргументирован, содержит авторскую оценку излагаемого материал, речь связная, логически выстроенная.</w:t>
      </w:r>
    </w:p>
    <w:p w14:paraId="3DE5942B" w14:textId="77777777"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Оценка «хорошо» - аспирант демонстрирует достаточный уровень знания содержания материала, показывает способность к критическому анализу и оценке современных научных достижений, в том числе в междисциплинарных областях, умеет систематизировать материал, связывает теорию с практикой. Ответ аспиранта аргументирован, содержит авторскую оценку излагаемого материал, речь связная, логически выстроенная, но при ответе допускаются неточности.</w:t>
      </w:r>
    </w:p>
    <w:p w14:paraId="2B721DFF" w14:textId="77777777" w:rsidR="009B7876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Оценка «неудовлетворительно» - аспирант демонстрирует необходимый уровень владения материалом, но раскрывает материал неполно, допускает неточности. Ответ </w:t>
      </w:r>
    </w:p>
    <w:p w14:paraId="53F59A73" w14:textId="77777777" w:rsidR="009B7876" w:rsidRDefault="004133E7" w:rsidP="009B7876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аспиранта не всегда аргументирован и не содержит авторской оценки излагаемого </w:t>
      </w:r>
    </w:p>
    <w:p w14:paraId="10330D50" w14:textId="77777777"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материал. Аспирант затрудняется при ответах на дополнительные вопросы.</w:t>
      </w:r>
    </w:p>
    <w:p w14:paraId="1192803F" w14:textId="77777777"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Оценка «неудовлетворительно» - аспирант демонстрирует недостаточный уровень владения </w:t>
      </w:r>
      <w:proofErr w:type="gramStart"/>
      <w:r>
        <w:rPr>
          <w:rFonts w:eastAsia="Arial"/>
          <w:lang w:eastAsia="ar-SA"/>
        </w:rPr>
        <w:t>содержанием</w:t>
      </w:r>
      <w:proofErr w:type="gramEnd"/>
      <w:r>
        <w:rPr>
          <w:rFonts w:eastAsia="Arial"/>
          <w:lang w:eastAsia="ar-SA"/>
        </w:rPr>
        <w:t xml:space="preserve"> излагаемого материал, допускает грубые ошибки, демонстрирует бессистемные знания. Неуверенно излагает материал, не может связать теорию с практикой, затрудняется при ответах на вопросы или вообще отказывается от ответа.</w:t>
      </w:r>
    </w:p>
    <w:p w14:paraId="3C4E9D9F" w14:textId="77777777"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ind w:firstLine="72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Аспиранты, получившие по результатам государственного экзамена оценку «неудовлетворительно», не допускаются к защите научно -квалификационной работы.</w:t>
      </w:r>
    </w:p>
    <w:p w14:paraId="2F01A119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Заседания комиссии проводится председателем комиссии. Решение комиссии принимаются большинством голосов лиц, входящих в состав комиссии и участвующих в заседании. При равном числе голосов председатель обладает правом решающего голоса. Решение, принятое комиссией, оформляется протоколом.</w:t>
      </w:r>
    </w:p>
    <w:p w14:paraId="6C8E08BB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1FF1E72B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Протокол заседания государственной экзаменационной комиссии подписывается председателем и секретарем государственной экзаменационной комиссии,</w:t>
      </w:r>
    </w:p>
    <w:p w14:paraId="1E3E3291" w14:textId="77777777" w:rsidR="009B7876" w:rsidRDefault="004133E7" w:rsidP="009B7876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Протоколы заседаний государственной экзаменационной комиссии сшиваются в книги и хранятся в архиве университета.</w:t>
      </w:r>
    </w:p>
    <w:p w14:paraId="5326A543" w14:textId="77777777" w:rsidR="009B7876" w:rsidRDefault="009B7876" w:rsidP="009B7876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14:paraId="0C9EEB36" w14:textId="77777777" w:rsidR="009B7876" w:rsidRPr="009B7876" w:rsidRDefault="004133E7" w:rsidP="009B7876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3.2.5. Показатели и критерии оценивания результатов государственного </w:t>
      </w:r>
    </w:p>
    <w:p w14:paraId="47B2315C" w14:textId="77777777" w:rsidR="004133E7" w:rsidRDefault="004133E7" w:rsidP="009B7876">
      <w:pPr>
        <w:keepNext/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экзамена</w:t>
      </w:r>
    </w:p>
    <w:p w14:paraId="1A1C7FD9" w14:textId="77777777" w:rsidR="004133E7" w:rsidRDefault="004133E7" w:rsidP="009B7876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 xml:space="preserve">Знания, умения и навыки обучающихся аспирантов определяются на государственном экзамене по пятибалльной шкале оценками «отлично», «хорошо», «удовлетворительно», «неудовлетворительно»: </w:t>
      </w:r>
    </w:p>
    <w:p w14:paraId="5261711C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 xml:space="preserve">1. «Отлично» – аспирант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 </w:t>
      </w:r>
    </w:p>
    <w:p w14:paraId="7F3D31BC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 xml:space="preserve">2. «Хорошо» –аспирант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14:paraId="69A9EF15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 xml:space="preserve">3. «Удовлетворительно» – аспирант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</w:t>
      </w:r>
      <w:r>
        <w:lastRenderedPageBreak/>
        <w:t xml:space="preserve">затруднения в выполнении практических заданий. </w:t>
      </w:r>
    </w:p>
    <w:p w14:paraId="3745E726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4. «Неудовлетворительно» – аспирант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14:paraId="0FC17393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center"/>
      </w:pPr>
      <w: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82"/>
        <w:gridCol w:w="3230"/>
      </w:tblGrid>
      <w:tr w:rsidR="004133E7" w14:paraId="63601046" w14:textId="7777777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EEB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FE9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Уровень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9C82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</w:tr>
      <w:tr w:rsidR="004133E7" w14:paraId="664DCC7B" w14:textId="7777777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097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807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низкий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2219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неудовлетворительно</w:t>
            </w:r>
          </w:p>
        </w:tc>
      </w:tr>
      <w:tr w:rsidR="004133E7" w14:paraId="2DE50114" w14:textId="7777777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7BC0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5243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средний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A230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удовлетворительно</w:t>
            </w:r>
          </w:p>
        </w:tc>
      </w:tr>
      <w:tr w:rsidR="004133E7" w14:paraId="3FEB2C8F" w14:textId="7777777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167C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720F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выше среднего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937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</w:tr>
      <w:tr w:rsidR="004133E7" w14:paraId="09C2E513" w14:textId="7777777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5206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57C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высокий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FB4" w14:textId="77777777"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</w:tr>
    </w:tbl>
    <w:p w14:paraId="14DAC4B9" w14:textId="77777777"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14:paraId="27B9B73D" w14:textId="77777777" w:rsidR="004133E7" w:rsidRDefault="004133E7" w:rsidP="004133E7">
      <w:pPr>
        <w:keepNext/>
        <w:widowControl w:val="0"/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14:paraId="1AB76452" w14:textId="77777777" w:rsidR="004133E7" w:rsidRDefault="004133E7" w:rsidP="004133E7">
      <w:pPr>
        <w:keepNext/>
        <w:widowControl w:val="0"/>
        <w:ind w:firstLine="567"/>
        <w:jc w:val="center"/>
        <w:outlineLvl w:val="0"/>
        <w:rPr>
          <w:b/>
          <w:bCs/>
        </w:rPr>
      </w:pPr>
    </w:p>
    <w:p w14:paraId="08906A5F" w14:textId="77777777" w:rsidR="004133E7" w:rsidRDefault="004133E7" w:rsidP="004133E7">
      <w:pPr>
        <w:keepNext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>Учебно-методическое и информационное обеспечение представления научного доклада</w:t>
      </w:r>
    </w:p>
    <w:p w14:paraId="274D640D" w14:textId="77777777"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14:paraId="5F0420A3" w14:textId="77777777"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14:paraId="3C64E5DB" w14:textId="77777777"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 выполнении научного доклада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выявлять проблему, ставить и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05D2D7D5" w14:textId="77777777"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</w:pPr>
      <w:r>
        <w:t xml:space="preserve">Тема научного доклада аспиранта должна соответствовать области профессиональной деятельности аспиранта. Содержание должно свидетельствовать о готовности аспиранта к защите научно‐квалификационной работы и отражать следующие основные аспекты содержания этой работы: актуальность, научную новизну, теоретическое и практическое значение; объект, предмет, цель и задачи исследования; методологию </w:t>
      </w:r>
      <w:proofErr w:type="gramStart"/>
      <w:r>
        <w:t>исследования;  основные</w:t>
      </w:r>
      <w:proofErr w:type="gramEnd"/>
      <w:r>
        <w:t xml:space="preserve"> результаты исследования; список публикаций по теме исследования. Текст научного доклада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публичного выступления - защиты научно‐квалификационной работы. Предложенные аспирантом решения должны быть аргументированы и оценены по сравнению с другими известными решениями. Научный доклад должен содержать решение задачи, имеющей существенное значение для соответствующей отрасли знаний, либо научно‐обоснованные технические или иные решения и разработки, имеющие существенное значение для развития науки. В научно‐квалификационной работе должны быть приведены сведения об использовании полученных автором научных результатов и выводов, а также рекомендации по их возможному использованию. Основные результаты научно‐квалификационной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N 842 «О порядке присуждения учены степеней», (не менее одной статьи) и в других научных изданиях (не менее шести статей).</w:t>
      </w:r>
    </w:p>
    <w:p w14:paraId="04AEAE9F" w14:textId="77777777"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14:paraId="3C6DABA1" w14:textId="77777777"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ind w:left="1843" w:hanging="1134"/>
        <w:jc w:val="both"/>
        <w:outlineLvl w:val="2"/>
        <w:rPr>
          <w:b/>
        </w:rPr>
      </w:pPr>
      <w:r>
        <w:rPr>
          <w:b/>
        </w:rPr>
        <w:t xml:space="preserve">Перечень литературы и ресурсов сети «Интернет», необходимых для подготовки научного доклада </w:t>
      </w:r>
    </w:p>
    <w:p w14:paraId="565E1D39" w14:textId="77777777"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</w:rPr>
      </w:pPr>
    </w:p>
    <w:p w14:paraId="7393F676" w14:textId="77777777"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Институт физико-химической биологии им. Белозерского МГУ (Москва) </w:t>
      </w:r>
      <w:r>
        <w:rPr>
          <w:rFonts w:eastAsia="Calibri"/>
          <w:szCs w:val="22"/>
          <w:lang w:eastAsia="en-US"/>
        </w:rPr>
        <w:lastRenderedPageBreak/>
        <w:t>http://www.belozersky.msu.ru/ – Режим доступа свободный</w:t>
      </w:r>
    </w:p>
    <w:p w14:paraId="0E62F625" w14:textId="77777777"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Информационно-аналитический сервер по биотехнологии “Remedium.ru” </w:t>
      </w:r>
      <w:hyperlink r:id="rId7" w:history="1">
        <w:r>
          <w:rPr>
            <w:rStyle w:val="a3"/>
            <w:rFonts w:eastAsia="Calibri"/>
            <w:color w:val="auto"/>
            <w:szCs w:val="22"/>
            <w:u w:val="none"/>
            <w:lang w:eastAsia="en-US"/>
          </w:rPr>
          <w:t>http://remedium.ru/</w:t>
        </w:r>
      </w:hyperlink>
      <w:r>
        <w:rPr>
          <w:rFonts w:eastAsia="Calibri"/>
          <w:szCs w:val="22"/>
          <w:lang w:eastAsia="en-US"/>
        </w:rPr>
        <w:t xml:space="preserve"> – Режим доступа свободный</w:t>
      </w:r>
    </w:p>
    <w:p w14:paraId="0589A4DD" w14:textId="7BEF26A3"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Колесникова Н.И.  От конспекта к </w:t>
      </w:r>
      <w:proofErr w:type="gramStart"/>
      <w:r>
        <w:rPr>
          <w:rFonts w:ascii="Times New Roman" w:hAnsi="Times New Roman"/>
          <w:sz w:val="24"/>
          <w:szCs w:val="24"/>
        </w:rPr>
        <w:t>диссертации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по развитию навыков письменной речи. - 9-е </w:t>
      </w:r>
      <w:proofErr w:type="gramStart"/>
      <w:r>
        <w:rPr>
          <w:rFonts w:ascii="Times New Roman" w:hAnsi="Times New Roman"/>
          <w:sz w:val="24"/>
          <w:szCs w:val="24"/>
        </w:rPr>
        <w:t>изд. ;</w:t>
      </w:r>
      <w:proofErr w:type="gramEnd"/>
      <w:r>
        <w:rPr>
          <w:rFonts w:ascii="Times New Roman" w:hAnsi="Times New Roman"/>
          <w:sz w:val="24"/>
          <w:szCs w:val="24"/>
        </w:rPr>
        <w:t xml:space="preserve"> стер.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Наука, 2016. - 287, [1] с. </w:t>
      </w:r>
    </w:p>
    <w:p w14:paraId="0C866756" w14:textId="77777777"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Логика и методология научных исследований [Электронный ресурс]: учеб. пособие / Кравцова Е.Д. - </w:t>
      </w:r>
      <w:proofErr w:type="gramStart"/>
      <w:r>
        <w:rPr>
          <w:rFonts w:ascii="Times New Roman" w:hAnsi="Times New Roman"/>
          <w:sz w:val="24"/>
          <w:szCs w:val="24"/>
        </w:rPr>
        <w:t>Красноярск :</w:t>
      </w:r>
      <w:proofErr w:type="gramEnd"/>
      <w:r>
        <w:rPr>
          <w:rFonts w:ascii="Times New Roman" w:hAnsi="Times New Roman"/>
          <w:sz w:val="24"/>
          <w:szCs w:val="24"/>
        </w:rPr>
        <w:t xml:space="preserve"> СФУ, 2014. -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</w:t>
        </w:r>
      </w:hyperlink>
      <w:r>
        <w:rPr>
          <w:rFonts w:ascii="Times New Roman" w:hAnsi="Times New Roman"/>
          <w:sz w:val="24"/>
          <w:szCs w:val="24"/>
        </w:rPr>
        <w:t xml:space="preserve"> /ISBN9785763829464.html</w:t>
      </w:r>
    </w:p>
    <w:p w14:paraId="1B3718CC" w14:textId="20AA27CA"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М.С.   Методология научных </w:t>
      </w:r>
      <w:proofErr w:type="gramStart"/>
      <w:r>
        <w:rPr>
          <w:rFonts w:ascii="Times New Roman" w:hAnsi="Times New Roman"/>
          <w:sz w:val="24"/>
          <w:szCs w:val="24"/>
        </w:rPr>
        <w:t>исследований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магистратуры; доп. УМО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 в качестве учебника для студентов вузов / под ред. М.С. </w:t>
      </w:r>
      <w:proofErr w:type="spellStart"/>
      <w:r>
        <w:rPr>
          <w:rFonts w:ascii="Times New Roman" w:hAnsi="Times New Roman"/>
          <w:sz w:val="24"/>
          <w:szCs w:val="24"/>
        </w:rPr>
        <w:t>Мокия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2015. - 255 с. </w:t>
      </w:r>
    </w:p>
    <w:p w14:paraId="2BBF19AF" w14:textId="1A974F15"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научных </w:t>
      </w:r>
      <w:proofErr w:type="gramStart"/>
      <w:r>
        <w:rPr>
          <w:rFonts w:ascii="Times New Roman" w:hAnsi="Times New Roman"/>
          <w:sz w:val="24"/>
          <w:szCs w:val="24"/>
        </w:rPr>
        <w:t>исследований :</w:t>
      </w:r>
      <w:proofErr w:type="gramEnd"/>
      <w:r>
        <w:rPr>
          <w:rFonts w:ascii="Times New Roman" w:hAnsi="Times New Roman"/>
          <w:sz w:val="24"/>
          <w:szCs w:val="24"/>
        </w:rPr>
        <w:t xml:space="preserve"> доп. Советом УМО вузов России по образованию в обл. менеджмента в качестве учеб. пособия по спец. "Менеджмент организации" / [авт.: Б.И. Герасимов и др.].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ФОРУМ, 2011. - 269, [3] с.</w:t>
      </w:r>
    </w:p>
    <w:p w14:paraId="5D4924AA" w14:textId="54A99121"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 И.Б.  Основы научных исследований и </w:t>
      </w:r>
      <w:proofErr w:type="gramStart"/>
      <w:r>
        <w:rPr>
          <w:rFonts w:ascii="Times New Roman" w:hAnsi="Times New Roman"/>
          <w:sz w:val="24"/>
          <w:szCs w:val="24"/>
        </w:rPr>
        <w:t>изобретательства :</w:t>
      </w:r>
      <w:proofErr w:type="gramEnd"/>
      <w:r>
        <w:rPr>
          <w:rFonts w:ascii="Times New Roman" w:hAnsi="Times New Roman"/>
          <w:sz w:val="24"/>
          <w:szCs w:val="24"/>
        </w:rPr>
        <w:t xml:space="preserve"> рек. УМО по унив. </w:t>
      </w:r>
      <w:proofErr w:type="spellStart"/>
      <w:r>
        <w:rPr>
          <w:rFonts w:ascii="Times New Roman" w:hAnsi="Times New Roman"/>
          <w:sz w:val="24"/>
          <w:szCs w:val="24"/>
        </w:rPr>
        <w:t>политехн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образованию в качестве учеб. пособия для студентов вузов </w:t>
      </w:r>
      <w:proofErr w:type="gramStart"/>
      <w:r>
        <w:rPr>
          <w:rFonts w:ascii="Times New Roman" w:hAnsi="Times New Roman"/>
          <w:sz w:val="24"/>
          <w:szCs w:val="24"/>
        </w:rPr>
        <w:t>... .</w:t>
      </w:r>
      <w:proofErr w:type="gramEnd"/>
      <w:r>
        <w:rPr>
          <w:rFonts w:ascii="Times New Roman" w:hAnsi="Times New Roman"/>
          <w:sz w:val="24"/>
          <w:szCs w:val="24"/>
        </w:rPr>
        <w:t xml:space="preserve"> - 2-е </w:t>
      </w:r>
      <w:proofErr w:type="gramStart"/>
      <w:r>
        <w:rPr>
          <w:rFonts w:ascii="Times New Roman" w:hAnsi="Times New Roman"/>
          <w:sz w:val="24"/>
          <w:szCs w:val="24"/>
        </w:rPr>
        <w:t>изд. ;</w:t>
      </w:r>
      <w:proofErr w:type="gramEnd"/>
      <w:r>
        <w:rPr>
          <w:rFonts w:ascii="Times New Roman" w:hAnsi="Times New Roman"/>
          <w:sz w:val="24"/>
          <w:szCs w:val="24"/>
        </w:rPr>
        <w:t xml:space="preserve"> стереотип. - СПб.; М.; </w:t>
      </w:r>
      <w:proofErr w:type="gramStart"/>
      <w:r>
        <w:rPr>
          <w:rFonts w:ascii="Times New Roman" w:hAnsi="Times New Roman"/>
          <w:sz w:val="24"/>
          <w:szCs w:val="24"/>
        </w:rPr>
        <w:t>Краснодар :</w:t>
      </w:r>
      <w:proofErr w:type="gramEnd"/>
      <w:r>
        <w:rPr>
          <w:rFonts w:ascii="Times New Roman" w:hAnsi="Times New Roman"/>
          <w:sz w:val="24"/>
          <w:szCs w:val="24"/>
        </w:rPr>
        <w:t xml:space="preserve"> Лань, 2013. - 224 с.</w:t>
      </w:r>
    </w:p>
    <w:p w14:paraId="5A1082A5" w14:textId="77777777"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Сафронова Т.Н., Основы научных исследований [Электронный ресурс]: учеб. пособие / Сафронова Т. Н. - </w:t>
      </w:r>
      <w:proofErr w:type="gramStart"/>
      <w:r>
        <w:rPr>
          <w:rFonts w:ascii="Times New Roman" w:hAnsi="Times New Roman"/>
          <w:sz w:val="24"/>
          <w:szCs w:val="24"/>
        </w:rPr>
        <w:t>Красноярск :</w:t>
      </w:r>
      <w:proofErr w:type="gramEnd"/>
      <w:r>
        <w:rPr>
          <w:rFonts w:ascii="Times New Roman" w:hAnsi="Times New Roman"/>
          <w:sz w:val="24"/>
          <w:szCs w:val="24"/>
        </w:rPr>
        <w:t xml:space="preserve"> СФУ, 2016. - 168 с. - Режим доступа: http://www.studentlibrary.ru/book/ISBN9785763834284.html.</w:t>
      </w:r>
    </w:p>
    <w:p w14:paraId="4670DB91" w14:textId="77777777"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  <w:tab w:val="left" w:pos="1134"/>
          <w:tab w:val="right" w:leader="underscore" w:pos="963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en-US"/>
        </w:rPr>
      </w:pPr>
      <w:r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«БИБЛИОТЕХ».  </w:t>
      </w:r>
      <w:hyperlink r:id="rId9" w:history="1">
        <w:r>
          <w:rPr>
            <w:rStyle w:val="a3"/>
            <w:bCs/>
            <w:color w:val="auto"/>
            <w:u w:val="none"/>
            <w:lang w:val="en-US"/>
          </w:rPr>
          <w:t>https</w:t>
        </w:r>
        <w:r>
          <w:rPr>
            <w:rStyle w:val="a3"/>
            <w:bCs/>
            <w:color w:val="auto"/>
            <w:u w:val="none"/>
          </w:rPr>
          <w:t>://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biblio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asu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edu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ru</w:t>
        </w:r>
        <w:proofErr w:type="spellEnd"/>
      </w:hyperlink>
      <w:r>
        <w:rPr>
          <w:bCs/>
        </w:rPr>
        <w:t xml:space="preserve"> . </w:t>
      </w:r>
      <w:r>
        <w:rPr>
          <w:rFonts w:eastAsia="Calibri"/>
          <w:szCs w:val="22"/>
          <w:lang w:eastAsia="en-US"/>
        </w:rPr>
        <w:t xml:space="preserve">- Режим доступа свободный (с регистрацией). </w:t>
      </w:r>
    </w:p>
    <w:p w14:paraId="72A42B88" w14:textId="77777777"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Электронная библиотека методических указаний, учебно-методических пособий </w:t>
      </w:r>
      <w:proofErr w:type="spellStart"/>
      <w:r>
        <w:rPr>
          <w:rFonts w:eastAsia="Calibri"/>
          <w:szCs w:val="22"/>
          <w:lang w:eastAsia="en-US"/>
        </w:rPr>
        <w:t>СпбГТУРП</w:t>
      </w:r>
      <w:proofErr w:type="spellEnd"/>
      <w:r>
        <w:rPr>
          <w:rFonts w:eastAsia="Calibri"/>
          <w:szCs w:val="22"/>
          <w:lang w:eastAsia="en-US"/>
        </w:rPr>
        <w:t xml:space="preserve"> http://nizrp.narod.ru/kafvse.htm - Режим доступа свободный.</w:t>
      </w:r>
    </w:p>
    <w:p w14:paraId="1F26E2CA" w14:textId="77777777" w:rsidR="004133E7" w:rsidRDefault="004133E7" w:rsidP="004133E7">
      <w:pPr>
        <w:keepNext/>
        <w:widowControl w:val="0"/>
        <w:tabs>
          <w:tab w:val="left" w:pos="142"/>
          <w:tab w:val="left" w:pos="993"/>
        </w:tabs>
        <w:suppressAutoHyphens/>
        <w:ind w:left="709"/>
        <w:jc w:val="both"/>
        <w:rPr>
          <w:rFonts w:eastAsia="Calibri"/>
          <w:szCs w:val="22"/>
          <w:lang w:eastAsia="en-US"/>
        </w:rPr>
      </w:pPr>
    </w:p>
    <w:p w14:paraId="31D725E4" w14:textId="77777777" w:rsidR="004133E7" w:rsidRDefault="004133E7" w:rsidP="004133E7">
      <w:pPr>
        <w:keepNext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>Учебно-методическое и информационное обеспечение государственного экзамена</w:t>
      </w:r>
    </w:p>
    <w:p w14:paraId="25D572BF" w14:textId="77777777"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14:paraId="089FD7D7" w14:textId="77777777"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b/>
          <w:bCs/>
        </w:rPr>
      </w:pPr>
      <w:r>
        <w:rPr>
          <w:b/>
        </w:rPr>
        <w:t>Рекомендации обучающимся по подготовке к государственному экзамену</w:t>
      </w:r>
    </w:p>
    <w:p w14:paraId="77280D66" w14:textId="77777777"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</w:pPr>
      <w:r>
        <w:t>Подготовку к сдаче государственного экзамена необходимо начать с ознакомления с перечнем вопросов, выносимых на государственный экзамен. При подготовке ответов необходимо пользоваться рекомендованной обязательной и дополнительной литературой, а также лекционными конспектами, которые были составлены в процессе обучения. Во время подготовки к экзамену рекомендуется,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работы. 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 Обязательным является посещение консультаций, которые проводятся перед государственным экзаменом.</w:t>
      </w:r>
    </w:p>
    <w:p w14:paraId="5696E808" w14:textId="77777777"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76505CFC" w14:textId="77777777"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4.2.2. Перечень литературы и ресурсов сети «Интернет», необходимых для подготовки к государственному экзамену</w:t>
      </w:r>
    </w:p>
    <w:p w14:paraId="040C26D6" w14:textId="77777777"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14:paraId="613A99CF" w14:textId="77777777" w:rsidR="004133E7" w:rsidRDefault="004133E7" w:rsidP="004133E7">
      <w:pPr>
        <w:keepNext/>
        <w:widowControl w:val="0"/>
        <w:ind w:firstLine="709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а) основная литература:</w:t>
      </w:r>
    </w:p>
    <w:p w14:paraId="202B91A3" w14:textId="08318AF7"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П. </w:t>
      </w:r>
      <w:proofErr w:type="gramStart"/>
      <w:r>
        <w:rPr>
          <w:rFonts w:ascii="Times New Roman" w:hAnsi="Times New Roman"/>
          <w:sz w:val="24"/>
          <w:szCs w:val="24"/>
        </w:rPr>
        <w:t>Биохимия :</w:t>
      </w:r>
      <w:proofErr w:type="gramEnd"/>
      <w:r>
        <w:rPr>
          <w:rFonts w:ascii="Times New Roman" w:hAnsi="Times New Roman"/>
          <w:sz w:val="24"/>
          <w:szCs w:val="24"/>
        </w:rPr>
        <w:t xml:space="preserve"> Доп. М-</w:t>
      </w:r>
      <w:proofErr w:type="spellStart"/>
      <w:r>
        <w:rPr>
          <w:rFonts w:ascii="Times New Roman" w:hAnsi="Times New Roman"/>
          <w:sz w:val="24"/>
          <w:szCs w:val="24"/>
        </w:rPr>
        <w:t>вом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РФ в качестве учеб. для студентов вузов.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2004.  640 </w:t>
      </w:r>
      <w:proofErr w:type="gramStart"/>
      <w:r>
        <w:rPr>
          <w:rFonts w:ascii="Times New Roman" w:hAnsi="Times New Roman"/>
          <w:sz w:val="24"/>
          <w:szCs w:val="24"/>
        </w:rPr>
        <w:t>с. :</w:t>
      </w:r>
      <w:proofErr w:type="gramEnd"/>
      <w:r>
        <w:rPr>
          <w:rFonts w:ascii="Times New Roman" w:hAnsi="Times New Roman"/>
          <w:sz w:val="24"/>
          <w:szCs w:val="24"/>
        </w:rPr>
        <w:t xml:space="preserve"> ил. – (Высшее образование. Современный учебник) </w:t>
      </w:r>
    </w:p>
    <w:p w14:paraId="427EE239" w14:textId="77777777"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Биологическая химия: учебник / Березов Т.Т., </w:t>
      </w:r>
      <w:proofErr w:type="spellStart"/>
      <w:r>
        <w:rPr>
          <w:rFonts w:ascii="Times New Roman" w:hAnsi="Times New Roman"/>
          <w:sz w:val="24"/>
          <w:szCs w:val="24"/>
        </w:rPr>
        <w:t>Коровкин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Б.Ф. – 3-е изд., стереотипное. - М.: Медицина, 2008. – (Учеб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лит. Для студентов мед. Вузов).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http://www.studentlibrary.ru/book/ISBN5225046851.html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14:paraId="18B96D8A" w14:textId="77777777"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Биологическая химия: учебник / А.А. Чиркин, Е.О. Данченко – Минск: </w:t>
      </w:r>
      <w:proofErr w:type="spellStart"/>
      <w:r>
        <w:rPr>
          <w:rFonts w:ascii="Times New Roman" w:hAnsi="Times New Roman"/>
          <w:sz w:val="24"/>
          <w:szCs w:val="24"/>
        </w:rPr>
        <w:t>Выш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., 2017.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http://www.studentlibrary.ru/book/ISBN9789850623836.html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14:paraId="1CAC0FE4" w14:textId="77777777" w:rsidR="00F93F33" w:rsidRDefault="00F93F33" w:rsidP="00F93F3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A5F9E" w14:textId="77777777"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2D62F64F" w14:textId="6FACCF63" w:rsidR="00F93F33" w:rsidRDefault="00F93F33" w:rsidP="00F93F33">
      <w:pPr>
        <w:tabs>
          <w:tab w:val="left" w:pos="993"/>
          <w:tab w:val="right" w:leader="underscore" w:pos="9639"/>
        </w:tabs>
        <w:ind w:left="709" w:hanging="283"/>
        <w:jc w:val="both"/>
        <w:outlineLvl w:val="1"/>
        <w:rPr>
          <w:rFonts w:eastAsiaTheme="minorHAnsi"/>
          <w:lang w:eastAsia="en-US"/>
        </w:rPr>
      </w:pPr>
      <w:r>
        <w:t xml:space="preserve">1. </w:t>
      </w:r>
      <w:proofErr w:type="spellStart"/>
      <w:r>
        <w:t>Кнорре</w:t>
      </w:r>
      <w:proofErr w:type="spellEnd"/>
      <w:r>
        <w:t xml:space="preserve">, Д.Г. Биологическая </w:t>
      </w:r>
      <w:proofErr w:type="gramStart"/>
      <w:r>
        <w:t>химия :</w:t>
      </w:r>
      <w:proofErr w:type="gramEnd"/>
      <w:r>
        <w:t xml:space="preserve"> </w:t>
      </w:r>
      <w:proofErr w:type="spellStart"/>
      <w:r>
        <w:t>eчеб</w:t>
      </w:r>
      <w:proofErr w:type="spellEnd"/>
      <w:r>
        <w:t xml:space="preserve">. для вузов. - 3-е изд.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2000. - 479 с. </w:t>
      </w:r>
    </w:p>
    <w:p w14:paraId="488FFA3C" w14:textId="77777777" w:rsidR="00F93F33" w:rsidRDefault="00F93F33" w:rsidP="00F93F33">
      <w:pPr>
        <w:pStyle w:val="a5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Биологическая химия с упражнениями и задачами: учебник / под ред. С.Е. Северина. – 3-е</w:t>
      </w:r>
      <w:r>
        <w:rPr>
          <w:rFonts w:ascii="Times New Roman" w:hAnsi="Times New Roman"/>
          <w:sz w:val="24"/>
          <w:szCs w:val="24"/>
        </w:rPr>
        <w:t xml:space="preserve"> изд., стереотипное. – М.: ГЭОТАР-Медиа, 2016.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http://www.studentlibrary.ru/book/ISBN9785970439715.html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14:paraId="567F98DA" w14:textId="77777777"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7817C0DA" w14:textId="77777777"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424E6D59" w14:textId="77777777" w:rsidR="00F93F33" w:rsidRDefault="00F93F33" w:rsidP="00F93F3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eastAsia="Calibri" w:hAnsi="Times New Roman"/>
          <w:sz w:val="24"/>
          <w:szCs w:val="24"/>
        </w:rPr>
        <w:t>БиблиоТех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». </w:t>
      </w:r>
      <w:hyperlink r:id="rId13" w:history="1"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biblio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asu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55C5B670" w14:textId="77777777" w:rsidR="00F93F33" w:rsidRDefault="00F93F33" w:rsidP="00F93F33">
      <w:pPr>
        <w:shd w:val="clear" w:color="auto" w:fill="FFFFFF"/>
        <w:textAlignment w:val="top"/>
        <w:rPr>
          <w:i/>
        </w:rPr>
      </w:pPr>
      <w:r>
        <w:rPr>
          <w:i/>
        </w:rPr>
        <w:t>Учетная запись образовательного портала АГУ</w:t>
      </w:r>
    </w:p>
    <w:p w14:paraId="1CF4CEFD" w14:textId="77777777"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rFonts w:eastAsia="Calibri"/>
        </w:rPr>
      </w:pPr>
      <w:r>
        <w:rPr>
          <w:rFonts w:eastAsia="Calibri"/>
        </w:rPr>
        <w:t>2. Электронно-библиотечная система (ЭБС) ООО «</w:t>
      </w:r>
      <w:proofErr w:type="spellStart"/>
      <w:r>
        <w:rPr>
          <w:rFonts w:eastAsia="Calibri"/>
        </w:rPr>
        <w:t>Политехресурс</w:t>
      </w:r>
      <w:proofErr w:type="spellEnd"/>
      <w:r>
        <w:rPr>
          <w:rFonts w:eastAsia="Calibri"/>
        </w:rPr>
        <w:t xml:space="preserve">» «Консультант студента». </w:t>
      </w:r>
      <w: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6B593C0" w14:textId="77777777"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4" w:tgtFrame="_blank" w:history="1">
        <w:r>
          <w:rPr>
            <w:rStyle w:val="a3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14:paraId="2EF236C5" w14:textId="77777777" w:rsidR="00F93F33" w:rsidRDefault="00F93F33" w:rsidP="00F93F33">
      <w:pPr>
        <w:shd w:val="clear" w:color="auto" w:fill="FFFFFF"/>
        <w:ind w:left="426" w:hanging="426"/>
        <w:jc w:val="both"/>
        <w:textAlignment w:val="top"/>
      </w:pPr>
      <w:r>
        <w:t xml:space="preserve">3. Электронная библиотечная система </w:t>
      </w:r>
      <w:r>
        <w:rPr>
          <w:lang w:val="en-US"/>
        </w:rPr>
        <w:t>BOOK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hyperlink r:id="rId15" w:history="1">
        <w:r>
          <w:rPr>
            <w:rStyle w:val="a3"/>
          </w:rPr>
          <w:t>www.bоо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 </w:t>
      </w:r>
    </w:p>
    <w:p w14:paraId="1D2BED86" w14:textId="77777777"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rFonts w:eastAsia="Calibri"/>
        </w:rPr>
      </w:pPr>
      <w:r>
        <w:t xml:space="preserve">4. Электронная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. </w:t>
      </w:r>
      <w:hyperlink r:id="rId16" w:history="1">
        <w:r>
          <w:rPr>
            <w:rStyle w:val="a3"/>
            <w:color w:val="0563C1"/>
            <w:lang w:val="en-US"/>
          </w:rPr>
          <w:t>www</w:t>
        </w:r>
        <w:r>
          <w:rPr>
            <w:rStyle w:val="a3"/>
            <w:color w:val="0563C1"/>
          </w:rPr>
          <w:t>.</w:t>
        </w:r>
        <w:proofErr w:type="spellStart"/>
        <w:r>
          <w:rPr>
            <w:rStyle w:val="a3"/>
            <w:color w:val="0563C1"/>
            <w:lang w:val="en-US"/>
          </w:rPr>
          <w:t>iprbookshop</w:t>
        </w:r>
        <w:proofErr w:type="spellEnd"/>
        <w:r>
          <w:rPr>
            <w:rStyle w:val="a3"/>
            <w:color w:val="0563C1"/>
          </w:rPr>
          <w:t>.</w:t>
        </w:r>
        <w:proofErr w:type="spellStart"/>
        <w:r>
          <w:rPr>
            <w:rStyle w:val="a3"/>
            <w:color w:val="0563C1"/>
            <w:lang w:val="en-US"/>
          </w:rPr>
          <w:t>ru</w:t>
        </w:r>
        <w:proofErr w:type="spellEnd"/>
      </w:hyperlink>
      <w:r w:rsidRPr="00F93F33">
        <w:rPr>
          <w:rFonts w:eastAsia="Calibri"/>
        </w:rPr>
        <w:t xml:space="preserve"> </w:t>
      </w:r>
    </w:p>
    <w:p w14:paraId="3943EBDF" w14:textId="77777777" w:rsidR="00F93F33" w:rsidRDefault="00F93F33" w:rsidP="00F93F33">
      <w:pPr>
        <w:shd w:val="clear" w:color="auto" w:fill="FFFFFF"/>
        <w:ind w:left="426" w:hanging="426"/>
        <w:jc w:val="both"/>
        <w:textAlignment w:val="top"/>
      </w:pPr>
      <w:r>
        <w:rPr>
          <w:rFonts w:eastAsia="Calibri"/>
        </w:rPr>
        <w:t xml:space="preserve">5. Электронная библиотека МГППУ. </w:t>
      </w:r>
      <w:hyperlink r:id="rId17" w:history="1">
        <w:r>
          <w:rPr>
            <w:rStyle w:val="a3"/>
            <w:rFonts w:eastAsia="Calibri"/>
            <w:color w:val="0563C1"/>
            <w:lang w:val="en-US"/>
          </w:rPr>
          <w:t>http</w:t>
        </w:r>
        <w:r>
          <w:rPr>
            <w:rStyle w:val="a3"/>
            <w:rFonts w:eastAsia="Calibri"/>
            <w:color w:val="0563C1"/>
          </w:rPr>
          <w:t>://</w:t>
        </w:r>
        <w:proofErr w:type="spellStart"/>
        <w:r>
          <w:rPr>
            <w:rStyle w:val="a3"/>
            <w:rFonts w:eastAsia="Calibri"/>
            <w:color w:val="0563C1"/>
            <w:lang w:val="en-US"/>
          </w:rPr>
          <w:t>psychlib</w:t>
        </w:r>
        <w:proofErr w:type="spellEnd"/>
        <w:r>
          <w:rPr>
            <w:rStyle w:val="a3"/>
            <w:rFonts w:eastAsia="Calibri"/>
            <w:color w:val="0563C1"/>
          </w:rPr>
          <w:t>.</w:t>
        </w:r>
        <w:proofErr w:type="spellStart"/>
        <w:r>
          <w:rPr>
            <w:rStyle w:val="a3"/>
            <w:rFonts w:eastAsia="Calibri"/>
            <w:color w:val="0563C1"/>
            <w:lang w:val="en-US"/>
          </w:rPr>
          <w:t>ru</w:t>
        </w:r>
        <w:proofErr w:type="spellEnd"/>
      </w:hyperlink>
      <w:r w:rsidRPr="00F93F33">
        <w:t xml:space="preserve"> </w:t>
      </w:r>
    </w:p>
    <w:p w14:paraId="7DBC9AB5" w14:textId="77777777"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color w:val="FF0000"/>
        </w:rPr>
      </w:pPr>
      <w:r>
        <w:t xml:space="preserve">6. Электронная библиотечная система издательства ЮРАЙТ, раздел «Легендарные книги». </w:t>
      </w:r>
      <w:hyperlink r:id="rId18" w:history="1">
        <w:r>
          <w:rPr>
            <w:rStyle w:val="a3"/>
            <w:color w:val="0563C1"/>
            <w:lang w:val="en-US"/>
          </w:rPr>
          <w:t>www</w:t>
        </w:r>
        <w:r>
          <w:rPr>
            <w:rStyle w:val="a3"/>
            <w:color w:val="0563C1"/>
          </w:rPr>
          <w:t>.</w:t>
        </w:r>
        <w:proofErr w:type="spellStart"/>
        <w:r>
          <w:rPr>
            <w:rStyle w:val="a3"/>
            <w:color w:val="0563C1"/>
            <w:lang w:val="en-US"/>
          </w:rPr>
          <w:t>biblio</w:t>
        </w:r>
        <w:proofErr w:type="spellEnd"/>
        <w:r>
          <w:rPr>
            <w:rStyle w:val="a3"/>
            <w:color w:val="0563C1"/>
          </w:rPr>
          <w:t>-</w:t>
        </w:r>
        <w:r>
          <w:rPr>
            <w:rStyle w:val="a3"/>
            <w:color w:val="0563C1"/>
            <w:lang w:val="en-US"/>
          </w:rPr>
          <w:t>online</w:t>
        </w:r>
        <w:r>
          <w:rPr>
            <w:rStyle w:val="a3"/>
            <w:color w:val="0563C1"/>
          </w:rPr>
          <w:t>.</w:t>
        </w:r>
        <w:proofErr w:type="spellStart"/>
        <w:r>
          <w:rPr>
            <w:rStyle w:val="a3"/>
            <w:color w:val="0563C1"/>
            <w:lang w:val="en-US"/>
          </w:rPr>
          <w:t>ru</w:t>
        </w:r>
        <w:proofErr w:type="spellEnd"/>
      </w:hyperlink>
      <w:r w:rsidRPr="00F93F33">
        <w:rPr>
          <w:color w:val="FF0000"/>
        </w:rPr>
        <w:t xml:space="preserve"> </w:t>
      </w:r>
    </w:p>
    <w:p w14:paraId="478803A5" w14:textId="77777777" w:rsidR="00F93F33" w:rsidRDefault="00F93F33" w:rsidP="004133E7">
      <w:pPr>
        <w:keepNext/>
        <w:widowControl w:val="0"/>
        <w:tabs>
          <w:tab w:val="left" w:pos="993"/>
          <w:tab w:val="right" w:leader="underscore" w:pos="9639"/>
        </w:tabs>
        <w:ind w:firstLine="567"/>
        <w:jc w:val="both"/>
        <w:outlineLvl w:val="1"/>
      </w:pPr>
    </w:p>
    <w:p w14:paraId="4800AE60" w14:textId="77777777" w:rsidR="004133E7" w:rsidRDefault="004133E7" w:rsidP="004133E7">
      <w:pPr>
        <w:keepNext/>
        <w:widowControl w:val="0"/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</w:t>
      </w:r>
      <w:bookmarkStart w:id="1" w:name="_GoBack"/>
      <w:bookmarkEnd w:id="1"/>
      <w:r>
        <w:t>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5D2E861E" w14:textId="77777777" w:rsidR="004133E7" w:rsidRDefault="004133E7" w:rsidP="004133E7">
      <w:pPr>
        <w:keepNext/>
        <w:widowControl w:val="0"/>
      </w:pPr>
      <w:r>
        <w:t xml:space="preserve">                                                                                            </w:t>
      </w:r>
      <w:r>
        <w:br w:type="page"/>
      </w: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1 </w:t>
      </w:r>
    </w:p>
    <w:p w14:paraId="5CDC26A8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04C3DB3E" w14:textId="77777777"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14:paraId="68BE95B0" w14:textId="77777777"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АСТРАХАНСКИЙ ГОСУДАРСТВЕННЫЙ УНИВЕРСИТЕТ</w:t>
      </w:r>
    </w:p>
    <w:p w14:paraId="72817BAB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6C723D30" w14:textId="77777777" w:rsidR="004133E7" w:rsidRDefault="004133E7" w:rsidP="004133E7">
      <w:pPr>
        <w:keepNext/>
        <w:widowControl w:val="0"/>
        <w:ind w:left="2124" w:firstLine="708"/>
        <w:rPr>
          <w:sz w:val="28"/>
          <w:szCs w:val="28"/>
        </w:rPr>
      </w:pPr>
    </w:p>
    <w:p w14:paraId="75A25431" w14:textId="77777777" w:rsidR="004133E7" w:rsidRDefault="004133E7" w:rsidP="004133E7">
      <w:pPr>
        <w:keepNext/>
        <w:widowControl w:val="0"/>
        <w:ind w:left="2124" w:firstLine="708"/>
        <w:rPr>
          <w:sz w:val="28"/>
          <w:szCs w:val="28"/>
        </w:rPr>
      </w:pPr>
    </w:p>
    <w:p w14:paraId="6F84E272" w14:textId="77777777"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Факультет _________________________</w:t>
      </w:r>
    </w:p>
    <w:p w14:paraId="57F018FD" w14:textId="77777777"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</w:p>
    <w:p w14:paraId="30FB7934" w14:textId="77777777" w:rsidR="004133E7" w:rsidRDefault="004133E7" w:rsidP="004133E7">
      <w:pPr>
        <w:keepNext/>
        <w:widowControl w:val="0"/>
        <w:ind w:left="4248"/>
        <w:rPr>
          <w:sz w:val="28"/>
          <w:szCs w:val="28"/>
        </w:rPr>
      </w:pPr>
      <w:r>
        <w:rPr>
          <w:sz w:val="28"/>
          <w:szCs w:val="28"/>
        </w:rPr>
        <w:t>Кафедра ___________________________</w:t>
      </w:r>
    </w:p>
    <w:p w14:paraId="3A658AD2" w14:textId="77777777" w:rsidR="004133E7" w:rsidRDefault="004133E7" w:rsidP="004133E7">
      <w:pPr>
        <w:keepNext/>
        <w:widowControl w:val="0"/>
        <w:ind w:left="4248"/>
        <w:rPr>
          <w:sz w:val="28"/>
          <w:szCs w:val="28"/>
        </w:rPr>
      </w:pPr>
    </w:p>
    <w:p w14:paraId="648B6657" w14:textId="77777777"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Форма обучения ____________________</w:t>
      </w:r>
    </w:p>
    <w:p w14:paraId="52E1FF75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4311FBE7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23F9A2F0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3AEC98BF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21AC9CC6" w14:textId="77777777" w:rsidR="004133E7" w:rsidRDefault="004133E7" w:rsidP="004133E7">
      <w:pPr>
        <w:keepNext/>
        <w:widowControl w:val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 аспиранта</w:t>
      </w:r>
    </w:p>
    <w:p w14:paraId="7607130C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08729944" w14:textId="77777777"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</w:p>
    <w:p w14:paraId="2F6E7A61" w14:textId="77777777"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темы</w:t>
      </w:r>
    </w:p>
    <w:p w14:paraId="3C59A950" w14:textId="77777777" w:rsidR="004133E7" w:rsidRDefault="004133E7" w:rsidP="004133E7">
      <w:pPr>
        <w:keepNext/>
        <w:widowControl w:val="0"/>
        <w:jc w:val="center"/>
      </w:pPr>
      <w:r>
        <w:t>(в соответствии с темой научно-квалификационной работы (диссертации))</w:t>
      </w:r>
    </w:p>
    <w:p w14:paraId="56C1463E" w14:textId="77777777"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14:paraId="4FB08CBE" w14:textId="77777777"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14:paraId="43143528" w14:textId="77777777"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доклад об основных результатах подготовленной научно-   </w:t>
      </w:r>
    </w:p>
    <w:p w14:paraId="79481B17" w14:textId="77777777"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 (диссертации) по направлению </w:t>
      </w:r>
    </w:p>
    <w:p w14:paraId="5E444035" w14:textId="77777777" w:rsidR="004133E7" w:rsidRDefault="004133E7" w:rsidP="004133E7">
      <w:pPr>
        <w:keepNext/>
        <w:widowControl w:val="0"/>
        <w:jc w:val="center"/>
        <w:rPr>
          <w:i/>
        </w:rPr>
      </w:pPr>
      <w:r>
        <w:rPr>
          <w:b/>
          <w:bCs/>
        </w:rPr>
        <w:t>06.06.01 БИОЛОГИЧЕСКИЕ НАУКИ</w:t>
      </w:r>
    </w:p>
    <w:p w14:paraId="7B601F05" w14:textId="77777777" w:rsidR="004133E7" w:rsidRDefault="004133E7" w:rsidP="004133E7">
      <w:pPr>
        <w:keepNext/>
        <w:widowControl w:val="0"/>
        <w:jc w:val="center"/>
        <w:rPr>
          <w:b/>
          <w:bCs/>
        </w:rPr>
      </w:pPr>
      <w:r>
        <w:rPr>
          <w:sz w:val="28"/>
          <w:szCs w:val="28"/>
        </w:rPr>
        <w:t xml:space="preserve">направленность (профиль) </w:t>
      </w:r>
      <w:r w:rsidR="00F93F33">
        <w:rPr>
          <w:b/>
          <w:bCs/>
        </w:rPr>
        <w:t>Биохимия</w:t>
      </w:r>
    </w:p>
    <w:p w14:paraId="319306FE" w14:textId="77777777" w:rsidR="004133E7" w:rsidRDefault="004133E7" w:rsidP="004133E7">
      <w:pPr>
        <w:keepNext/>
        <w:widowControl w:val="0"/>
        <w:rPr>
          <w:i/>
        </w:rPr>
      </w:pPr>
    </w:p>
    <w:p w14:paraId="708001A2" w14:textId="77777777" w:rsidR="004133E7" w:rsidRDefault="004133E7" w:rsidP="004133E7">
      <w:pPr>
        <w:keepNext/>
        <w:widowControl w:val="0"/>
        <w:rPr>
          <w:sz w:val="28"/>
          <w:szCs w:val="28"/>
        </w:rPr>
      </w:pPr>
    </w:p>
    <w:p w14:paraId="79CB8900" w14:textId="77777777"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14:paraId="1053CD99" w14:textId="77777777"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Ученое звание, ученая степень, должность </w:t>
      </w:r>
    </w:p>
    <w:p w14:paraId="7A031F26" w14:textId="77777777"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Фамилия И.О. </w:t>
      </w:r>
    </w:p>
    <w:p w14:paraId="64CEFA53" w14:textId="77777777"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14:paraId="7366365D" w14:textId="77777777"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14:paraId="3340836C" w14:textId="77777777"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</w:p>
    <w:p w14:paraId="4CFEA6F7" w14:textId="77777777"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 размещением работы в электронной библиотеке «Астраханский государственный университет» согласен (на) </w:t>
      </w:r>
      <w:r>
        <w:rPr>
          <w:sz w:val="28"/>
          <w:szCs w:val="28"/>
        </w:rPr>
        <w:tab/>
      </w:r>
    </w:p>
    <w:p w14:paraId="60583EAD" w14:textId="77777777"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__________________/____________</w:t>
      </w:r>
      <w:r>
        <w:rPr>
          <w:sz w:val="28"/>
          <w:szCs w:val="28"/>
        </w:rPr>
        <w:lastRenderedPageBreak/>
        <w:t>__</w:t>
      </w:r>
    </w:p>
    <w:p w14:paraId="346950BC" w14:textId="77777777"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14:paraId="474B06A0" w14:textId="77777777"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20__</w:t>
      </w:r>
    </w:p>
    <w:p w14:paraId="244A0929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</w:t>
      </w:r>
    </w:p>
    <w:p w14:paraId="474E25FD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                                     </w:t>
      </w:r>
    </w:p>
    <w:p w14:paraId="1C142850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14:paraId="4C5B50E4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                              </w:t>
      </w:r>
    </w:p>
    <w:p w14:paraId="663B0DC6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14:paraId="028C41B2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                   </w:t>
      </w:r>
    </w:p>
    <w:p w14:paraId="59C0F831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14:paraId="5AFE6849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</w:p>
    <w:p w14:paraId="6CF3AC5B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B281837" w14:textId="77777777"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научного доклада состоится________________________________________</w:t>
      </w:r>
    </w:p>
    <w:p w14:paraId="2C35EB3F" w14:textId="77777777" w:rsidR="004133E7" w:rsidRDefault="004133E7" w:rsidP="004133E7">
      <w:pPr>
        <w:pStyle w:val="a5"/>
        <w:keepNext/>
        <w:widowControl w:val="0"/>
        <w:spacing w:after="0" w:line="360" w:lineRule="auto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(дата, время)</w:t>
      </w:r>
    </w:p>
    <w:p w14:paraId="2B8E8DA1" w14:textId="77777777" w:rsidR="0021028D" w:rsidRDefault="004133E7" w:rsidP="004133E7">
      <w:r>
        <w:rPr>
          <w:sz w:val="28"/>
          <w:szCs w:val="28"/>
        </w:rPr>
        <w:t xml:space="preserve">на заседании государственной экзаменационной </w:t>
      </w:r>
      <w:proofErr w:type="spellStart"/>
      <w:r>
        <w:rPr>
          <w:sz w:val="28"/>
          <w:szCs w:val="28"/>
        </w:rPr>
        <w:t>комисс</w:t>
      </w:r>
      <w:proofErr w:type="spellEnd"/>
    </w:p>
    <w:sectPr w:rsidR="002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320516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E0333E8"/>
    <w:multiLevelType w:val="hybridMultilevel"/>
    <w:tmpl w:val="2994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0540"/>
    <w:multiLevelType w:val="multilevel"/>
    <w:tmpl w:val="45FAD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6" w15:restartNumberingAfterBreak="0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6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 w15:restartNumberingAfterBreak="0">
    <w:nsid w:val="19883F13"/>
    <w:multiLevelType w:val="multilevel"/>
    <w:tmpl w:val="07A82B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9" w15:restartNumberingAfterBreak="0">
    <w:nsid w:val="296372C7"/>
    <w:multiLevelType w:val="multilevel"/>
    <w:tmpl w:val="45FAD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10" w15:restartNumberingAfterBreak="0">
    <w:nsid w:val="2AC9106B"/>
    <w:multiLevelType w:val="hybridMultilevel"/>
    <w:tmpl w:val="F814C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7A330A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76F7"/>
    <w:multiLevelType w:val="hybridMultilevel"/>
    <w:tmpl w:val="F6C2070E"/>
    <w:lvl w:ilvl="0" w:tplc="97C4DE18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1CE9"/>
    <w:multiLevelType w:val="hybridMultilevel"/>
    <w:tmpl w:val="76EA88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6" w15:restartNumberingAfterBreak="0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2CBC"/>
    <w:multiLevelType w:val="hybridMultilevel"/>
    <w:tmpl w:val="C3CE5CAA"/>
    <w:lvl w:ilvl="0" w:tplc="B71ADF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9" w15:restartNumberingAfterBreak="0">
    <w:nsid w:val="60D2359B"/>
    <w:multiLevelType w:val="multilevel"/>
    <w:tmpl w:val="92401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721F4D21"/>
    <w:multiLevelType w:val="hybridMultilevel"/>
    <w:tmpl w:val="71C057D8"/>
    <w:lvl w:ilvl="0" w:tplc="2148373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64BB"/>
    <w:multiLevelType w:val="hybridMultilevel"/>
    <w:tmpl w:val="8E98DC7E"/>
    <w:lvl w:ilvl="0" w:tplc="B818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0"/>
  </w:num>
  <w:num w:numId="19">
    <w:abstractNumId w:val="3"/>
  </w:num>
  <w:num w:numId="20">
    <w:abstractNumId w:val="19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45"/>
    <w:rsid w:val="00126314"/>
    <w:rsid w:val="0021028D"/>
    <w:rsid w:val="00215FA1"/>
    <w:rsid w:val="002C3BE6"/>
    <w:rsid w:val="003F1545"/>
    <w:rsid w:val="004133E7"/>
    <w:rsid w:val="00476DDB"/>
    <w:rsid w:val="007849E1"/>
    <w:rsid w:val="007D74ED"/>
    <w:rsid w:val="0084739A"/>
    <w:rsid w:val="00866576"/>
    <w:rsid w:val="009149EF"/>
    <w:rsid w:val="00961F62"/>
    <w:rsid w:val="009B7876"/>
    <w:rsid w:val="009F1BC5"/>
    <w:rsid w:val="00F57D84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417C"/>
  <w15:chartTrackingRefBased/>
  <w15:docId w15:val="{B148BAA4-82C1-4BF7-986F-ACAB03B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3E7"/>
    <w:rPr>
      <w:color w:val="0000FF"/>
      <w:u w:val="single"/>
    </w:rPr>
  </w:style>
  <w:style w:type="paragraph" w:styleId="a4">
    <w:name w:val="Normal (Web)"/>
    <w:basedOn w:val="a"/>
    <w:semiHidden/>
    <w:unhideWhenUsed/>
    <w:rsid w:val="004133E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13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" TargetMode="External"/><Relationship Id="rId13" Type="http://schemas.openxmlformats.org/officeDocument/2006/relationships/hyperlink" Target="https://biblio.asu.edu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medium.ru/" TargetMode="External"/><Relationship Id="rId12" Type="http://schemas.openxmlformats.org/officeDocument/2006/relationships/hyperlink" Target="http://www.studentlibrary.ru/book/ISBN9785970439715.html" TargetMode="External"/><Relationship Id="rId17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udentlibrary.ru/book/ISBN978985062383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&#1086;&#1086;k.ru" TargetMode="External"/><Relationship Id="rId10" Type="http://schemas.openxmlformats.org/officeDocument/2006/relationships/hyperlink" Target="http://www.studentlibrary.ru/book/ISBN522504685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 Трясучев</cp:lastModifiedBy>
  <cp:revision>3</cp:revision>
  <dcterms:created xsi:type="dcterms:W3CDTF">2021-04-14T20:18:00Z</dcterms:created>
  <dcterms:modified xsi:type="dcterms:W3CDTF">2021-04-14T20:18:00Z</dcterms:modified>
</cp:coreProperties>
</file>