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87BB518" w14:textId="77777777" w:rsidR="008C7AA3" w:rsidRPr="008C7AA3" w:rsidRDefault="008C7AA3" w:rsidP="008C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2CDF1FA1" w14:textId="77777777" w:rsidR="008C7AA3" w:rsidRPr="008C7AA3" w:rsidRDefault="008C7AA3" w:rsidP="008C7A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Руководитель ОПОП</w:t>
            </w:r>
          </w:p>
          <w:p w14:paraId="06CD2907" w14:textId="671DF301" w:rsidR="008C7AA3" w:rsidRPr="008C7AA3" w:rsidRDefault="008C7AA3" w:rsidP="008C7AA3">
            <w:pPr>
              <w:spacing w:before="120" w:after="0" w:line="240" w:lineRule="auto"/>
              <w:jc w:val="center"/>
              <w:rPr>
                <w:rFonts w:ascii="Liberation Serif" w:eastAsia="NSimSun" w:hAnsi="Liberation Serif" w:cs="Arial"/>
                <w:sz w:val="24"/>
                <w:szCs w:val="24"/>
                <w:lang w:eastAsia="zh-CN"/>
              </w:rPr>
            </w:pPr>
            <w:r w:rsidRPr="008C7A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C72FA5" wp14:editId="195EDBAB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140335</wp:posOffset>
                  </wp:positionV>
                  <wp:extent cx="739140" cy="472440"/>
                  <wp:effectExtent l="19050" t="19050" r="22860" b="2286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AB943D" w14:textId="77777777" w:rsidR="008C7AA3" w:rsidRPr="008C7AA3" w:rsidRDefault="008C7AA3" w:rsidP="008C7A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7A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  <w:r w:rsidRPr="008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Аммосова Н.В. </w:t>
            </w:r>
          </w:p>
          <w:p w14:paraId="04853008" w14:textId="102B216D" w:rsidR="00961551" w:rsidRPr="00961551" w:rsidRDefault="008C7AA3" w:rsidP="008C7A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«_27</w:t>
            </w:r>
            <w:r w:rsidRPr="008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bookmarkStart w:id="0" w:name="_GoBack"/>
            <w:bookmarkEnd w:id="0"/>
            <w:r w:rsidRPr="008C7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60610E0D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12483">
              <w:rPr>
                <w:noProof/>
                <w:lang w:eastAsia="ru-RU"/>
              </w:rPr>
              <w:drawing>
                <wp:inline distT="0" distB="0" distL="0" distR="0" wp14:anchorId="275B5962" wp14:editId="7680C782">
                  <wp:extent cx="952500" cy="428625"/>
                  <wp:effectExtent l="0" t="0" r="0" b="952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1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5E64D895" w:rsidR="00984FF9" w:rsidRPr="00984FF9" w:rsidRDefault="00AA29A3" w:rsidP="00AA29A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29A3">
              <w:rPr>
                <w:rFonts w:ascii="Times New Roman" w:hAnsi="Times New Roman" w:cs="Times New Roman"/>
                <w:b/>
                <w:bCs/>
              </w:rPr>
              <w:t xml:space="preserve">44.06.01 Образование и педагогические науки.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ADF2F26" w14:textId="77777777" w:rsidR="00AA29A3" w:rsidRPr="00AA29A3" w:rsidRDefault="00AA29A3" w:rsidP="00AA29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29A3">
              <w:rPr>
                <w:rFonts w:ascii="Times New Roman" w:hAnsi="Times New Roman" w:cs="Times New Roman"/>
                <w:b/>
                <w:bCs/>
              </w:rPr>
              <w:t>Теория и методика обучения и воспитания (математике; уровни общего и профессионального образования) </w:t>
            </w:r>
          </w:p>
          <w:p w14:paraId="119A773F" w14:textId="5DD5B720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Все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 xml:space="preserve">Тесты разрабатывает преподаватель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861B7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0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861B7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861B73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861B7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861B7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оригинального текста по специальности и передача его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6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lastRenderedPageBreak/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2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4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3BBE" w14:textId="77777777" w:rsidR="00861B73" w:rsidRDefault="00861B73">
      <w:pPr>
        <w:spacing w:after="0" w:line="240" w:lineRule="auto"/>
      </w:pPr>
      <w:r>
        <w:separator/>
      </w:r>
    </w:p>
  </w:endnote>
  <w:endnote w:type="continuationSeparator" w:id="0">
    <w:p w14:paraId="704DEED6" w14:textId="77777777" w:rsidR="00861B73" w:rsidRDefault="0086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7AA3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4CEF" w14:textId="77777777" w:rsidR="00861B73" w:rsidRDefault="00861B73">
      <w:pPr>
        <w:spacing w:after="0" w:line="240" w:lineRule="auto"/>
      </w:pPr>
      <w:r>
        <w:separator/>
      </w:r>
    </w:p>
  </w:footnote>
  <w:footnote w:type="continuationSeparator" w:id="0">
    <w:p w14:paraId="09DF2E83" w14:textId="77777777" w:rsidR="00861B73" w:rsidRDefault="0086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E69EB"/>
    <w:rsid w:val="00214151"/>
    <w:rsid w:val="00266351"/>
    <w:rsid w:val="002F371B"/>
    <w:rsid w:val="003C46AE"/>
    <w:rsid w:val="004028B3"/>
    <w:rsid w:val="004048E4"/>
    <w:rsid w:val="0044059B"/>
    <w:rsid w:val="004E6C9C"/>
    <w:rsid w:val="00555C16"/>
    <w:rsid w:val="0064732C"/>
    <w:rsid w:val="006A1AFB"/>
    <w:rsid w:val="006A79B6"/>
    <w:rsid w:val="006C1102"/>
    <w:rsid w:val="007869E2"/>
    <w:rsid w:val="007A5E14"/>
    <w:rsid w:val="007F703A"/>
    <w:rsid w:val="00800042"/>
    <w:rsid w:val="00821EA5"/>
    <w:rsid w:val="00861B73"/>
    <w:rsid w:val="00866CEA"/>
    <w:rsid w:val="008C6157"/>
    <w:rsid w:val="008C7AA3"/>
    <w:rsid w:val="00961551"/>
    <w:rsid w:val="00984FF9"/>
    <w:rsid w:val="00AA29A3"/>
    <w:rsid w:val="00AE5A25"/>
    <w:rsid w:val="00B25F48"/>
    <w:rsid w:val="00B83CA2"/>
    <w:rsid w:val="00BA1888"/>
    <w:rsid w:val="00C86D85"/>
    <w:rsid w:val="00CB032E"/>
    <w:rsid w:val="00D85E91"/>
    <w:rsid w:val="00E12483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docId w15:val="{C91F4F49-4A72-4FEB-8028-F2D2C92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1360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741016954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lib.eastview.com" TargetMode="External"/><Relationship Id="rId17" Type="http://schemas.openxmlformats.org/officeDocument/2006/relationships/hyperlink" Target="http://www.studentlibrary.ru/book/ISBN9785741018309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2473.html" TargetMode="External"/><Relationship Id="rId20" Type="http://schemas.openxmlformats.org/officeDocument/2006/relationships/hyperlink" Target="http://www.studentlibrary.ru/book/ISBN978526101128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u.edu.ru/images/File/dogovor_IVIS1.pdf" TargetMode="External"/><Relationship Id="rId24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s://biblio.asu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.asu.edu.ru/" TargetMode="External"/><Relationship Id="rId19" Type="http://schemas.openxmlformats.org/officeDocument/2006/relationships/hyperlink" Target="http://www.studentlibrary.ru/book/ISBN97859765284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studentlibrary.ru/book/ISBN9785976501157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5</cp:revision>
  <dcterms:created xsi:type="dcterms:W3CDTF">2020-12-21T09:48:00Z</dcterms:created>
  <dcterms:modified xsi:type="dcterms:W3CDTF">2021-03-17T11:52:00Z</dcterms:modified>
</cp:coreProperties>
</file>