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60E6E856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5979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Бармин</w:t>
            </w:r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«27» августа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  <w:proofErr w:type="gramEnd"/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</w:t>
            </w:r>
            <w:proofErr w:type="spellEnd"/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gramStart"/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  2020</w:t>
            </w:r>
            <w:proofErr w:type="gramEnd"/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2E46645C" w14:textId="77777777" w:rsidR="00597911" w:rsidRPr="00597911" w:rsidRDefault="00597911" w:rsidP="0059791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97911">
              <w:rPr>
                <w:rFonts w:ascii="Times New Roman" w:hAnsi="Times New Roman" w:cs="Times New Roman"/>
                <w:b/>
                <w:bCs/>
              </w:rPr>
              <w:t>05.06.01 Науки о земле.</w:t>
            </w:r>
          </w:p>
          <w:p w14:paraId="46FE6641" w14:textId="37066070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19A773F" w14:textId="4B60B991" w:rsidR="00984FF9" w:rsidRPr="00984FF9" w:rsidRDefault="00597911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97911">
              <w:rPr>
                <w:rFonts w:ascii="Times New Roman" w:hAnsi="Times New Roman" w:cs="Times New Roman"/>
                <w:b/>
                <w:bCs/>
              </w:rPr>
              <w:t>Землеустройство, кадастр и мониторинг земель. </w:t>
            </w: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</w:t>
      </w:r>
      <w:proofErr w:type="gram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сдаче  кандидатского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 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аудировать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предложения: словесное, фразовое и логическое ударения, мелодия, </w:t>
            </w:r>
            <w:proofErr w:type="spellStart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паузация</w:t>
            </w:r>
            <w:proofErr w:type="spellEnd"/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в функции определения, части сказуемого, 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proofErr w:type="gramStart"/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proofErr w:type="gramEnd"/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Видо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-временные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формы  английского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Согласование времён: формы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should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\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would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plus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Infinitive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be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инф.) и в составном модальном сказуемом; (оборот «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for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+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smb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to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do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smth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Причастие 1 в функции определения, </w:t>
      </w:r>
      <w:proofErr w:type="gram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части  простого</w:t>
      </w:r>
      <w:proofErr w:type="gram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Модальные глаголы с простым и перфектным инфинитивом. </w:t>
      </w:r>
      <w:proofErr w:type="spellStart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Аттрибутивные</w:t>
      </w:r>
      <w:proofErr w:type="spellEnd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Изучающее чтение оригинального текста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 специальности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</w:t>
      </w:r>
      <w:proofErr w:type="spellStart"/>
      <w:r w:rsidRPr="0044059B">
        <w:rPr>
          <w:rFonts w:ascii="Times New Roman" w:hAnsi="Times New Roman" w:cs="Times New Roman"/>
        </w:rPr>
        <w:t>видеолекций</w:t>
      </w:r>
      <w:proofErr w:type="spellEnd"/>
      <w:r w:rsidRPr="0044059B">
        <w:rPr>
          <w:rFonts w:ascii="Times New Roman" w:hAnsi="Times New Roman" w:cs="Times New Roman"/>
        </w:rPr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44059B">
        <w:rPr>
          <w:rFonts w:ascii="Times New Roman" w:hAnsi="Times New Roman" w:cs="Times New Roman"/>
        </w:rPr>
        <w:t>др</w:t>
      </w:r>
      <w:proofErr w:type="spellEnd"/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7F703A">
        <w:rPr>
          <w:rFonts w:ascii="Times New Roman" w:hAnsi="Times New Roman" w:cs="Times New Roman"/>
        </w:rPr>
        <w:t>Moodle</w:t>
      </w:r>
      <w:proofErr w:type="spellEnd"/>
      <w:r w:rsidRPr="007F703A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14:paraId="0D2DD7B1" w14:textId="77777777" w:rsidR="00961551" w:rsidRPr="00961551" w:rsidRDefault="000604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0604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06045E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0604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06045E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6155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6155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Контролируемые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 дисциплины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</w:t>
            </w:r>
            <w:proofErr w:type="gram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  (</w:t>
            </w:r>
            <w:proofErr w:type="gram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Indefinite</w:t>
            </w:r>
            <w:proofErr w:type="spellEnd"/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Continuous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Perfect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Фонетика. Порядок слов. Сложное предложение. Эллиптические предложения. Времена группы </w:t>
      </w:r>
      <w:proofErr w:type="spellStart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Indefinite</w:t>
      </w:r>
      <w:proofErr w:type="spellEnd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Раздел 2. Времена группы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Continuous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61551">
        <w:rPr>
          <w:rFonts w:ascii="Times New Roman" w:hAnsi="Times New Roman" w:cs="Times New Roman"/>
          <w:b/>
          <w:bCs/>
          <w:sz w:val="24"/>
          <w:szCs w:val="24"/>
        </w:rPr>
        <w:t>Perfect</w:t>
      </w:r>
      <w:proofErr w:type="spellEnd"/>
      <w:r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</w:t>
      </w:r>
      <w:proofErr w:type="gram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)You go to the museum last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Sunday?</w:t>
      </w:r>
      <w:proofErr w:type="gramEnd"/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3.I</w:t>
      </w:r>
      <w:proofErr w:type="gram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</w:t>
      </w:r>
      <w:proofErr w:type="gram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year?</w:t>
      </w:r>
      <w:proofErr w:type="gramEnd"/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Sshh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5.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Michalangelo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Курс английского языка для аспирантов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Learn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Read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Science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Бреховских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- 12-е изд. - М. : Флинта; Наука, 2012. - 360 с. (10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образ. РФ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2000. - 95 с. 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гуманитариев =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Newspaper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Classroom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С.Г. Тер-Минасовой. - Ростов н/Д : Феникс, 2004. - 384 с. - (Учебники МГУ. К 250-летию МГУ).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для психологов и социологов. - Ростов н/Д : Феникс, 2002. - 512 с. - (Учебники, учебные пособия). (88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Как работать с научной статьей. Пособие по английскому языку : доп. Гос. ком. СССР по народ. образ. в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студ. втузов. - М.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1991. - 202 с. : ил. (3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Английский язык для студентов нетехнических факультетов : рек. Академией гуманитарных наук в качестве учеб.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для вузов . - Ростов н/Д : Феникс, 2005. - 316 с. - (Высшее образование. К 90-летию РГУ). (74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вом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РФ в качестве учебника для вузов   . - Ростов н/Д : Феникс, 2005. - 288 с. - (Высшее образование. К 90-летию РГУ). (53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делового английского языка. - М. : Студия АРДИС, 2006. - 1 электрон. диск (CD-ROM).  (2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экз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Гарагуля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Postgraduate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proofErr w:type="spellEnd"/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proofErr w:type="spellEnd"/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studentlibrary</w:t>
        </w:r>
        <w:proofErr w:type="spellEnd"/>
        <w:r w:rsidRPr="006A79B6">
          <w:rPr>
            <w:color w:val="0000FF"/>
            <w:u w:val="single"/>
          </w:rPr>
          <w:t>.</w:t>
        </w:r>
        <w:proofErr w:type="spellStart"/>
        <w:r w:rsidRPr="00961551">
          <w:rPr>
            <w:color w:val="0000FF"/>
            <w:u w:val="single"/>
            <w:lang w:val="en-US"/>
          </w:rPr>
          <w:t>ru</w:t>
        </w:r>
        <w:proofErr w:type="spellEnd"/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Г.Н., Английский язык профессионального общения. LSP: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Гумовская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Зашихина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, О.В.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Печинкина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Т.В., Английский язык [Электронный ресурс] / </w:t>
      </w:r>
      <w:proofErr w:type="spellStart"/>
      <w:r w:rsidRPr="00961551">
        <w:rPr>
          <w:rFonts w:ascii="Times New Roman" w:hAnsi="Times New Roman" w:cs="Times New Roman"/>
          <w:sz w:val="24"/>
          <w:szCs w:val="24"/>
        </w:rPr>
        <w:t>Евсюкова</w:t>
      </w:r>
      <w:proofErr w:type="spellEnd"/>
      <w:r w:rsidRPr="00961551">
        <w:rPr>
          <w:rFonts w:ascii="Times New Roman" w:hAnsi="Times New Roman" w:cs="Times New Roman"/>
          <w:sz w:val="24"/>
          <w:szCs w:val="24"/>
        </w:rPr>
        <w:t xml:space="preserve">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Международный инновационный центр «</w:t>
      </w:r>
      <w:proofErr w:type="spellStart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ЛингваИнжиниринг</w:t>
      </w:r>
      <w:proofErr w:type="spellEnd"/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конференций,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вебинаров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</w:t>
      </w:r>
      <w:proofErr w:type="spellStart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общефакультетские</w:t>
      </w:r>
      <w:proofErr w:type="spellEnd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D17C21" w14:textId="77777777" w:rsidR="0006045E" w:rsidRDefault="0006045E">
      <w:pPr>
        <w:spacing w:after="0" w:line="240" w:lineRule="auto"/>
      </w:pPr>
      <w:r>
        <w:separator/>
      </w:r>
    </w:p>
  </w:endnote>
  <w:endnote w:type="continuationSeparator" w:id="0">
    <w:p w14:paraId="148AC53C" w14:textId="77777777" w:rsidR="0006045E" w:rsidRDefault="00060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597911">
      <w:rPr>
        <w:rStyle w:val="af0"/>
        <w:noProof/>
      </w:rPr>
      <w:t>18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60373" w14:textId="77777777" w:rsidR="0006045E" w:rsidRDefault="0006045E">
      <w:pPr>
        <w:spacing w:after="0" w:line="240" w:lineRule="auto"/>
      </w:pPr>
      <w:r>
        <w:separator/>
      </w:r>
    </w:p>
  </w:footnote>
  <w:footnote w:type="continuationSeparator" w:id="0">
    <w:p w14:paraId="60C6AFF2" w14:textId="77777777" w:rsidR="0006045E" w:rsidRDefault="00060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6045E"/>
    <w:rsid w:val="000E3115"/>
    <w:rsid w:val="00180656"/>
    <w:rsid w:val="001E69EB"/>
    <w:rsid w:val="00214151"/>
    <w:rsid w:val="00383B7D"/>
    <w:rsid w:val="003C46AE"/>
    <w:rsid w:val="004028B3"/>
    <w:rsid w:val="004048E4"/>
    <w:rsid w:val="0044059B"/>
    <w:rsid w:val="004C3C80"/>
    <w:rsid w:val="00555C16"/>
    <w:rsid w:val="00597911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A1888"/>
    <w:rsid w:val="00C86D85"/>
    <w:rsid w:val="00CB032E"/>
    <w:rsid w:val="00D85E91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4523</Words>
  <Characters>25783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2</cp:revision>
  <dcterms:created xsi:type="dcterms:W3CDTF">2020-12-17T12:45:00Z</dcterms:created>
  <dcterms:modified xsi:type="dcterms:W3CDTF">2020-12-17T12:45:00Z</dcterms:modified>
</cp:coreProperties>
</file>