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529AC80F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1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Лунев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840EF0B" w14:textId="1A8E45B8" w:rsidR="001A25D9" w:rsidRPr="001A25D9" w:rsidRDefault="001A25D9" w:rsidP="001A25D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25D9">
              <w:rPr>
                <w:rFonts w:ascii="Times New Roman" w:hAnsi="Times New Roman" w:cs="Times New Roman"/>
                <w:b/>
                <w:bCs/>
              </w:rPr>
              <w:t>38.06.01 Экономика</w:t>
            </w:r>
            <w:proofErr w:type="gramStart"/>
            <w:r w:rsidRPr="001A25D9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A25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FE6641" w14:textId="7C47597C" w:rsidR="00984FF9" w:rsidRPr="00984FF9" w:rsidRDefault="00984FF9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24A682C" w14:textId="77777777" w:rsidR="00B13E69" w:rsidRPr="00B13E69" w:rsidRDefault="00B13E69" w:rsidP="00B13E6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3E69">
              <w:rPr>
                <w:rFonts w:ascii="Times New Roman" w:hAnsi="Times New Roman" w:cs="Times New Roman"/>
                <w:b/>
                <w:bCs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B13E69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B13E69">
              <w:rPr>
                <w:rFonts w:ascii="Times New Roman" w:hAnsi="Times New Roman" w:cs="Times New Roman"/>
                <w:b/>
                <w:bCs/>
              </w:rPr>
              <w:t>. региональная экономика)</w:t>
            </w:r>
          </w:p>
          <w:p w14:paraId="119A773F" w14:textId="3C4AF29E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Все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 xml:space="preserve">Тесты разрабатывает преподаватель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C24D8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C24D8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C24D8E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C24D8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C24D8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специальности и передача его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E7CC" w14:textId="77777777" w:rsidR="00C24D8E" w:rsidRDefault="00C24D8E">
      <w:pPr>
        <w:spacing w:after="0" w:line="240" w:lineRule="auto"/>
      </w:pPr>
      <w:r>
        <w:separator/>
      </w:r>
    </w:p>
  </w:endnote>
  <w:endnote w:type="continuationSeparator" w:id="0">
    <w:p w14:paraId="3E4D1252" w14:textId="77777777" w:rsidR="00C24D8E" w:rsidRDefault="00C2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3E69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DA8A" w14:textId="77777777" w:rsidR="00C24D8E" w:rsidRDefault="00C24D8E">
      <w:pPr>
        <w:spacing w:after="0" w:line="240" w:lineRule="auto"/>
      </w:pPr>
      <w:r>
        <w:separator/>
      </w:r>
    </w:p>
  </w:footnote>
  <w:footnote w:type="continuationSeparator" w:id="0">
    <w:p w14:paraId="6762CA62" w14:textId="77777777" w:rsidR="00C24D8E" w:rsidRDefault="00C2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A25D9"/>
    <w:rsid w:val="001E69EB"/>
    <w:rsid w:val="00214151"/>
    <w:rsid w:val="00266351"/>
    <w:rsid w:val="002F371B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21EA5"/>
    <w:rsid w:val="00866CEA"/>
    <w:rsid w:val="008C6157"/>
    <w:rsid w:val="00961551"/>
    <w:rsid w:val="00984FF9"/>
    <w:rsid w:val="00AA29A3"/>
    <w:rsid w:val="00AE5A25"/>
    <w:rsid w:val="00B13E69"/>
    <w:rsid w:val="00B83CA2"/>
    <w:rsid w:val="00BA1888"/>
    <w:rsid w:val="00C24D8E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2020-12-21T11:15:00Z</dcterms:created>
  <dcterms:modified xsi:type="dcterms:W3CDTF">2020-12-21T11:15:00Z</dcterms:modified>
</cp:coreProperties>
</file>